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960" w:lineRule="exact"/>
        <w:jc w:val="center"/>
        <w:rPr>
          <w:rFonts w:ascii="方正大标宋简体" w:eastAsia="方正大标宋简体" w:cs="Times New Roman"/>
          <w:color w:val="FF0000"/>
          <w:spacing w:val="-28"/>
          <w:w w:val="50"/>
          <w:sz w:val="190"/>
          <w:szCs w:val="190"/>
        </w:rPr>
      </w:pPr>
      <w: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-535940</wp:posOffset>
                </wp:positionV>
                <wp:extent cx="1828800" cy="495300"/>
                <wp:effectExtent l="4445" t="4445" r="10795" b="18415"/>
                <wp:wrapNone/>
                <wp:docPr id="5" name="矩形 3"/>
                <wp:cNvGraphicFramePr/>
                <a:graphic xmlns:a="http://schemas.openxmlformats.org/drawingml/2006/main">
                  <a:graphicData uri="http://schemas.microsoft.com/office/word/2010/wordprocessingShape">
                    <wps:wsp>
                      <wps:cNvSpPr/>
                      <wps:spPr>
                        <a:xfrm>
                          <a:off x="0" y="0"/>
                          <a:ext cx="1828800" cy="49530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rFonts w:ascii="黑体" w:hAnsi="黑体" w:eastAsia="黑体" w:cs="Times New Roman"/>
                                <w:sz w:val="32"/>
                                <w:szCs w:val="32"/>
                              </w:rPr>
                            </w:pPr>
                            <w:r>
                              <w:rPr>
                                <w:rFonts w:ascii="黑体" w:hAnsi="黑体" w:eastAsia="黑体" w:cs="黑体"/>
                                <w:sz w:val="32"/>
                                <w:szCs w:val="32"/>
                              </w:rPr>
                              <w:t>TZDR-2018-001007</w:t>
                            </w:r>
                          </w:p>
                        </w:txbxContent>
                      </wps:txbx>
                      <wps:bodyPr upright="true"/>
                    </wps:wsp>
                  </a:graphicData>
                </a:graphic>
              </wp:anchor>
            </w:drawing>
          </mc:Choice>
          <mc:Fallback>
            <w:pict>
              <v:rect id="矩形 3" o:spid="_x0000_s1026" o:spt="1" style="position:absolute;left:0pt;margin-left:-27pt;margin-top:-42.2pt;height:39pt;width:144pt;z-index:251659264;mso-width-relative:page;mso-height-relative:page;" fillcolor="#FFFFFF" filled="t" stroked="t" coordsize="21600,21600" o:gfxdata="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WAAAAZHJzL1BL&#10;AQIUABQAAAAIAIdO4kB9WzcL1wAAAAoBAAAPAAAAAAAAAAEAIAAAADgAAABkcnMvZG93bnJldi54&#10;bWxQSwECFAAUAAAACACHTuJAgiww+OUBAADeAwAADgAAAAAAAAABACAAAAA8AQAAZHJzL2Uyb0Rv&#10;Yy54bWxQSwUGAAAAAAYABgBZAQAAkwUAAAAA&#10;">
                <v:fill on="t" focussize="0,0"/>
                <v:stroke color="#FFFFFF" joinstyle="miter"/>
                <v:imagedata o:title=""/>
                <o:lock v:ext="edit" aspectratio="f"/>
                <v:textbox>
                  <w:txbxContent>
                    <w:p>
                      <w:pPr>
                        <w:rPr>
                          <w:rFonts w:ascii="黑体" w:hAnsi="黑体" w:eastAsia="黑体" w:cs="Times New Roman"/>
                          <w:sz w:val="32"/>
                          <w:szCs w:val="32"/>
                        </w:rPr>
                      </w:pPr>
                      <w:r>
                        <w:rPr>
                          <w:rFonts w:ascii="黑体" w:hAnsi="黑体" w:eastAsia="黑体" w:cs="黑体"/>
                          <w:sz w:val="32"/>
                          <w:szCs w:val="32"/>
                        </w:rPr>
                        <w:t>TZDR-2018-001007</w:t>
                      </w:r>
                    </w:p>
                  </w:txbxContent>
                </v:textbox>
              </v:rect>
            </w:pict>
          </mc:Fallback>
        </mc:AlternateContent>
      </w:r>
      <w:r>
        <w:rPr>
          <w:rFonts w:hint="eastAsia" w:ascii="方正大标宋简体" w:eastAsia="方正大标宋简体" w:cs="方正大标宋简体"/>
          <w:color w:val="FF0000"/>
          <w:spacing w:val="-28"/>
          <w:w w:val="50"/>
          <w:sz w:val="190"/>
          <w:szCs w:val="190"/>
        </w:rPr>
        <w:t>滕州市人民政府文件</w:t>
      </w:r>
    </w:p>
    <w:p>
      <w:pPr>
        <w:widowControl/>
        <w:spacing w:line="560" w:lineRule="exact"/>
        <w:jc w:val="center"/>
        <w:rPr>
          <w:rFonts w:ascii="仿宋_GB2312" w:hAnsi="??" w:eastAsia="仿宋_GB2312" w:cs="Times New Roman"/>
          <w:color w:val="000000"/>
          <w:kern w:val="0"/>
          <w:sz w:val="32"/>
          <w:szCs w:val="32"/>
        </w:rPr>
      </w:pPr>
    </w:p>
    <w:p>
      <w:pPr>
        <w:widowControl/>
        <w:spacing w:line="560" w:lineRule="exact"/>
        <w:jc w:val="center"/>
        <w:rPr>
          <w:rFonts w:ascii="仿宋_GB2312" w:hAnsi="??" w:eastAsia="仿宋_GB2312" w:cs="Times New Roman"/>
          <w:color w:val="000000"/>
          <w:kern w:val="0"/>
          <w:sz w:val="32"/>
          <w:szCs w:val="32"/>
        </w:rPr>
      </w:pPr>
    </w:p>
    <w:p>
      <w:pPr>
        <w:widowControl/>
        <w:spacing w:line="560" w:lineRule="exact"/>
        <w:jc w:val="center"/>
        <w:rPr>
          <w:rFonts w:ascii="仿宋_GB2312" w:hAnsi="??" w:eastAsia="仿宋_GB2312" w:cs="Times New Roman"/>
          <w:color w:val="000000"/>
          <w:kern w:val="0"/>
          <w:sz w:val="32"/>
          <w:szCs w:val="32"/>
        </w:rPr>
      </w:pPr>
      <w:r>
        <w:rPr>
          <w:rFonts w:hint="eastAsia" w:ascii="仿宋_GB2312" w:hAnsi="??" w:eastAsia="仿宋_GB2312" w:cs="仿宋_GB2312"/>
          <w:color w:val="000000"/>
          <w:kern w:val="0"/>
          <w:sz w:val="32"/>
          <w:szCs w:val="32"/>
        </w:rPr>
        <w:t>滕政发〔</w:t>
      </w:r>
      <w:r>
        <w:rPr>
          <w:rFonts w:ascii="仿宋_GB2312" w:hAnsi="??" w:eastAsia="仿宋_GB2312" w:cs="仿宋_GB2312"/>
          <w:color w:val="000000"/>
          <w:kern w:val="0"/>
          <w:sz w:val="32"/>
          <w:szCs w:val="32"/>
        </w:rPr>
        <w:t>2018</w:t>
      </w:r>
      <w:r>
        <w:rPr>
          <w:rFonts w:hint="eastAsia" w:ascii="仿宋_GB2312" w:hAnsi="??" w:eastAsia="仿宋_GB2312" w:cs="仿宋_GB2312"/>
          <w:color w:val="000000"/>
          <w:kern w:val="0"/>
          <w:sz w:val="32"/>
          <w:szCs w:val="32"/>
        </w:rPr>
        <w:t>〕</w:t>
      </w:r>
      <w:r>
        <w:rPr>
          <w:rFonts w:ascii="仿宋_GB2312" w:hAnsi="??" w:eastAsia="仿宋_GB2312" w:cs="仿宋_GB2312"/>
          <w:color w:val="000000"/>
          <w:kern w:val="0"/>
          <w:sz w:val="32"/>
          <w:szCs w:val="32"/>
        </w:rPr>
        <w:t>68</w:t>
      </w:r>
      <w:r>
        <w:rPr>
          <w:rFonts w:hint="eastAsia" w:ascii="仿宋_GB2312" w:hAnsi="??" w:eastAsia="仿宋_GB2312" w:cs="仿宋_GB2312"/>
          <w:color w:val="000000"/>
          <w:kern w:val="0"/>
          <w:sz w:val="32"/>
          <w:szCs w:val="32"/>
        </w:rPr>
        <w:t>号</w:t>
      </w:r>
    </w:p>
    <w:p>
      <w:pPr>
        <w:widowControl/>
        <w:spacing w:line="560" w:lineRule="exact"/>
        <w:jc w:val="center"/>
        <w:rPr>
          <w:rFonts w:ascii="方正小标宋简体" w:hAnsi="方正小标宋简体" w:eastAsia="方正小标宋简体" w:cs="Times New Roman"/>
          <w:color w:val="000000"/>
          <w:sz w:val="32"/>
          <w:szCs w:val="32"/>
        </w:rPr>
      </w:pPr>
      <w:r>
        <mc:AlternateContent>
          <mc:Choice Requires="wps">
            <w:drawing>
              <wp:anchor distT="0" distB="0" distL="114300" distR="114300" simplePos="0" relativeHeight="251658240" behindDoc="0" locked="0" layoutInCell="1" allowOverlap="1">
                <wp:simplePos x="0" y="0"/>
                <wp:positionH relativeFrom="column">
                  <wp:posOffset>-89535</wp:posOffset>
                </wp:positionH>
                <wp:positionV relativeFrom="paragraph">
                  <wp:posOffset>128905</wp:posOffset>
                </wp:positionV>
                <wp:extent cx="5579745" cy="0"/>
                <wp:effectExtent l="0" t="10795" r="13335" b="12065"/>
                <wp:wrapNone/>
                <wp:docPr id="3" name="直线 4"/>
                <wp:cNvGraphicFramePr/>
                <a:graphic xmlns:a="http://schemas.openxmlformats.org/drawingml/2006/main">
                  <a:graphicData uri="http://schemas.microsoft.com/office/word/2010/wordprocessingShape">
                    <wps:wsp>
                      <wps:cNvCnPr/>
                      <wps:spPr>
                        <a:xfrm>
                          <a:off x="0" y="0"/>
                          <a:ext cx="5579745" cy="0"/>
                        </a:xfrm>
                        <a:prstGeom prst="line">
                          <a:avLst/>
                        </a:prstGeom>
                        <a:ln w="22225" cap="flat" cmpd="sng">
                          <a:solidFill>
                            <a:srgbClr val="FF0000"/>
                          </a:solidFill>
                          <a:prstDash val="solid"/>
                          <a:headEnd type="none" w="med" len="med"/>
                          <a:tailEnd type="none" w="med" len="med"/>
                        </a:ln>
                      </wps:spPr>
                      <wps:bodyPr upright="true"/>
                    </wps:wsp>
                  </a:graphicData>
                </a:graphic>
              </wp:anchor>
            </w:drawing>
          </mc:Choice>
          <mc:Fallback>
            <w:pict>
              <v:line id="直线 4" o:spid="_x0000_s1026" o:spt="20" style="position:absolute;left:0pt;margin-left:-7.05pt;margin-top:10.15pt;height:0pt;width:439.35pt;z-index:251658240;mso-width-relative:page;mso-height-relative:page;" filled="f" stroked="t" coordsize="21600,21600" o:gfxdata="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BYAAABkcnMvUEsBAhQAFAAAAAgAh07iQGhpp4zY&#10;AAAACQEAAA8AAAAAAAAAAQAgAAAAOAAAAGRycy9kb3ducmV2LnhtbFBLAQIUABQAAAAIAIdO4kCY&#10;FUk40QEAAJEDAAAOAAAAAAAAAAEAIAAAAD0BAABkcnMvZTJvRG9jLnhtbFBLBQYAAAAABgAGAFkB&#10;AACABQAAAAA=&#10;">
                <v:fill on="f" focussize="0,0"/>
                <v:stroke weight="1.75pt" color="#FF0000" joinstyle="round"/>
                <v:imagedata o:title=""/>
                <o:lock v:ext="edit" aspectratio="f"/>
              </v:line>
            </w:pict>
          </mc:Fallback>
        </mc:AlternateContent>
      </w:r>
    </w:p>
    <w:p>
      <w:pPr>
        <w:widowControl/>
        <w:spacing w:line="560" w:lineRule="exact"/>
        <w:jc w:val="center"/>
        <w:rPr>
          <w:rFonts w:ascii="方正小标宋简体" w:hAnsi="方正小标宋简体" w:eastAsia="方正小标宋简体" w:cs="Times New Roman"/>
          <w:color w:val="000000"/>
          <w:sz w:val="32"/>
          <w:szCs w:val="32"/>
        </w:rPr>
      </w:pPr>
    </w:p>
    <w:p>
      <w:pPr>
        <w:widowControl/>
        <w:spacing w:line="540" w:lineRule="exact"/>
        <w:jc w:val="center"/>
        <w:rPr>
          <w:rFonts w:ascii="方正小标宋简体" w:hAnsi="方正小标宋简体" w:eastAsia="方正小标宋简体" w:cs="Times New Roman"/>
          <w:color w:val="000000"/>
          <w:kern w:val="0"/>
          <w:sz w:val="44"/>
          <w:szCs w:val="44"/>
        </w:rPr>
      </w:pPr>
      <w:r>
        <w:rPr>
          <w:rFonts w:hint="eastAsia" w:ascii="方正小标宋简体" w:hAnsi="方正小标宋简体" w:eastAsia="方正小标宋简体" w:cs="方正小标宋简体"/>
          <w:color w:val="000000"/>
          <w:sz w:val="44"/>
          <w:szCs w:val="44"/>
        </w:rPr>
        <w:t>滕州市人民政府</w:t>
      </w:r>
    </w:p>
    <w:p>
      <w:pPr>
        <w:spacing w:line="540" w:lineRule="exact"/>
        <w:jc w:val="center"/>
        <w:rPr>
          <w:rFonts w:ascii="仿宋_GB2312" w:hAnsi="仿宋_GB2312" w:eastAsia="仿宋_GB2312" w:cs="Times New Roman"/>
          <w:color w:val="000000"/>
          <w:kern w:val="0"/>
          <w:sz w:val="32"/>
          <w:szCs w:val="32"/>
        </w:rPr>
      </w:pPr>
      <w:r>
        <w:rPr>
          <w:rFonts w:hint="eastAsia" w:ascii="方正小标宋简体" w:hAnsi="方正小标宋简体" w:eastAsia="方正小标宋简体" w:cs="方正小标宋简体"/>
          <w:color w:val="000000"/>
          <w:kern w:val="0"/>
          <w:sz w:val="44"/>
          <w:szCs w:val="44"/>
        </w:rPr>
        <w:t>关于公布市政府规范性文件清理结果的决定</w:t>
      </w:r>
    </w:p>
    <w:p>
      <w:pPr>
        <w:spacing w:line="540" w:lineRule="exact"/>
        <w:jc w:val="center"/>
        <w:rPr>
          <w:rFonts w:ascii="楷体" w:hAnsi="楷体" w:eastAsia="楷体" w:cs="Times New Roman"/>
          <w:color w:val="000000"/>
          <w:kern w:val="0"/>
          <w:sz w:val="32"/>
          <w:szCs w:val="32"/>
        </w:rPr>
      </w:pPr>
    </w:p>
    <w:p>
      <w:pPr>
        <w:spacing w:line="540" w:lineRule="exact"/>
        <w:rPr>
          <w:rFonts w:ascii="仿宋_GB2312" w:hAnsi="仿宋_GB2312" w:eastAsia="仿宋_GB2312" w:cs="Times New Roman"/>
          <w:color w:val="000000"/>
          <w:kern w:val="0"/>
          <w:sz w:val="32"/>
          <w:szCs w:val="32"/>
        </w:rPr>
      </w:pPr>
      <w:r>
        <w:rPr>
          <w:rFonts w:hint="eastAsia" w:ascii="仿宋_GB2312" w:hAnsi="仿宋_GB2312" w:eastAsia="仿宋_GB2312" w:cs="仿宋_GB2312"/>
          <w:color w:val="000000"/>
          <w:kern w:val="0"/>
          <w:sz w:val="32"/>
          <w:szCs w:val="32"/>
        </w:rPr>
        <w:t>各镇人民政府、街道办事处，滕州经济开发区管委会，市政府各部门，各企事业单位：</w:t>
      </w:r>
    </w:p>
    <w:p>
      <w:pPr>
        <w:spacing w:line="540" w:lineRule="exact"/>
        <w:ind w:firstLine="640"/>
        <w:rPr>
          <w:rFonts w:ascii="仿宋_GB2312" w:hAnsi="仿宋_GB2312" w:eastAsia="仿宋_GB2312" w:cs="Times New Roman"/>
          <w:color w:val="000000"/>
          <w:kern w:val="0"/>
          <w:sz w:val="32"/>
          <w:szCs w:val="32"/>
        </w:rPr>
      </w:pPr>
      <w:r>
        <w:rPr>
          <w:rFonts w:hint="eastAsia" w:ascii="仿宋_GB2312" w:hAnsi="仿宋_GB2312" w:eastAsia="仿宋_GB2312" w:cs="仿宋_GB2312"/>
          <w:color w:val="000000"/>
          <w:kern w:val="0"/>
          <w:sz w:val="32"/>
          <w:szCs w:val="32"/>
        </w:rPr>
        <w:t>为深入贯彻落实中央、省和两级市法治政府建设实施纲要，进一步加强规范性文件的监督管理，维护社会主义法制统一，更好地服务全市经济社会发展，根据</w:t>
      </w:r>
      <w:r>
        <w:rPr>
          <w:rFonts w:hint="eastAsia" w:ascii="仿宋_GB2312" w:hAnsi="仿宋_GB2312" w:eastAsia="仿宋_GB2312" w:cs="仿宋_GB2312"/>
          <w:sz w:val="32"/>
          <w:szCs w:val="32"/>
        </w:rPr>
        <w:t>《国务院办公厅关于开展涉及产权保护的规章、规范性文件清理工作的通知》（国办发〔</w:t>
      </w:r>
      <w:r>
        <w:rPr>
          <w:rFonts w:ascii="仿宋_GB2312" w:hAnsi="仿宋_GB2312" w:eastAsia="仿宋_GB2312" w:cs="仿宋_GB2312"/>
          <w:sz w:val="32"/>
          <w:szCs w:val="32"/>
        </w:rPr>
        <w:t>2018</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29</w:t>
      </w:r>
      <w:r>
        <w:rPr>
          <w:rFonts w:hint="eastAsia" w:ascii="仿宋_GB2312" w:hAnsi="仿宋_GB2312" w:eastAsia="仿宋_GB2312" w:cs="仿宋_GB2312"/>
          <w:sz w:val="32"/>
          <w:szCs w:val="32"/>
        </w:rPr>
        <w:t>号）</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sz w:val="32"/>
          <w:szCs w:val="32"/>
        </w:rPr>
        <w:t>《国务院办公厅关于开展生态环境保护的法规、规章、规范性文件清理工作的通知》（国办发〔</w:t>
      </w:r>
      <w:r>
        <w:rPr>
          <w:rFonts w:ascii="仿宋_GB2312" w:hAnsi="仿宋_GB2312" w:eastAsia="仿宋_GB2312" w:cs="仿宋_GB2312"/>
          <w:sz w:val="32"/>
          <w:szCs w:val="32"/>
        </w:rPr>
        <w:t>2018</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87</w:t>
      </w:r>
      <w:r>
        <w:rPr>
          <w:rFonts w:hint="eastAsia" w:ascii="仿宋_GB2312" w:hAnsi="仿宋_GB2312" w:eastAsia="仿宋_GB2312" w:cs="仿宋_GB2312"/>
          <w:sz w:val="32"/>
          <w:szCs w:val="32"/>
        </w:rPr>
        <w:t>号）、</w:t>
      </w:r>
      <w:r>
        <w:rPr>
          <w:rFonts w:hint="eastAsia" w:ascii="仿宋_GB2312" w:hAnsi="仿宋_GB2312" w:eastAsia="仿宋_GB2312" w:cs="仿宋_GB2312"/>
          <w:color w:val="000000"/>
          <w:kern w:val="0"/>
          <w:sz w:val="32"/>
          <w:szCs w:val="32"/>
        </w:rPr>
        <w:t>《山东省行政程序规定》（省政府令第</w:t>
      </w:r>
      <w:r>
        <w:rPr>
          <w:rFonts w:ascii="仿宋_GB2312" w:hAnsi="仿宋_GB2312" w:eastAsia="仿宋_GB2312" w:cs="仿宋_GB2312"/>
          <w:color w:val="000000"/>
          <w:kern w:val="0"/>
          <w:sz w:val="32"/>
          <w:szCs w:val="32"/>
        </w:rPr>
        <w:t>238</w:t>
      </w:r>
      <w:r>
        <w:rPr>
          <w:rFonts w:hint="eastAsia" w:ascii="仿宋_GB2312" w:hAnsi="仿宋_GB2312" w:eastAsia="仿宋_GB2312" w:cs="仿宋_GB2312"/>
          <w:color w:val="000000"/>
          <w:kern w:val="0"/>
          <w:sz w:val="32"/>
          <w:szCs w:val="32"/>
        </w:rPr>
        <w:t>号）和</w:t>
      </w:r>
      <w:r>
        <w:rPr>
          <w:rFonts w:hint="eastAsia" w:ascii="仿宋_GB2312" w:hAnsi="仿宋_GB2312" w:eastAsia="仿宋_GB2312" w:cs="仿宋_GB2312"/>
          <w:sz w:val="32"/>
          <w:szCs w:val="32"/>
        </w:rPr>
        <w:t>《山东省人民政府办公厅关于开展涉及产权保护的政府规章、规范性文件清理工作的通知》（鲁政办字〔</w:t>
      </w:r>
      <w:r>
        <w:rPr>
          <w:rFonts w:ascii="仿宋_GB2312" w:hAnsi="仿宋_GB2312" w:eastAsia="仿宋_GB2312" w:cs="仿宋_GB2312"/>
          <w:sz w:val="32"/>
          <w:szCs w:val="32"/>
        </w:rPr>
        <w:t>2018</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140</w:t>
      </w:r>
      <w:r>
        <w:rPr>
          <w:rFonts w:hint="eastAsia" w:ascii="仿宋_GB2312" w:hAnsi="仿宋_GB2312" w:eastAsia="仿宋_GB2312" w:cs="仿宋_GB2312"/>
          <w:sz w:val="32"/>
          <w:szCs w:val="32"/>
        </w:rPr>
        <w:t>号）</w:t>
      </w:r>
      <w:r>
        <w:rPr>
          <w:rFonts w:hint="eastAsia" w:ascii="仿宋_GB2312" w:hAnsi="仿宋_GB2312" w:eastAsia="仿宋_GB2312" w:cs="仿宋_GB2312"/>
          <w:color w:val="000000"/>
          <w:kern w:val="0"/>
          <w:sz w:val="32"/>
          <w:szCs w:val="32"/>
        </w:rPr>
        <w:t>等文件要求，市政府组织对</w:t>
      </w:r>
      <w:r>
        <w:rPr>
          <w:rFonts w:ascii="仿宋_GB2312" w:hAnsi="仿宋_GB2312" w:eastAsia="仿宋_GB2312" w:cs="仿宋_GB2312"/>
          <w:color w:val="000000"/>
          <w:kern w:val="0"/>
          <w:sz w:val="32"/>
          <w:szCs w:val="32"/>
        </w:rPr>
        <w:t>2018</w:t>
      </w:r>
      <w:r>
        <w:rPr>
          <w:rFonts w:hint="eastAsia" w:ascii="仿宋_GB2312" w:hAnsi="仿宋_GB2312" w:eastAsia="仿宋_GB2312" w:cs="仿宋_GB2312"/>
          <w:color w:val="000000"/>
          <w:kern w:val="0"/>
          <w:sz w:val="32"/>
          <w:szCs w:val="32"/>
        </w:rPr>
        <w:t>年</w:t>
      </w:r>
      <w:r>
        <w:rPr>
          <w:rFonts w:ascii="仿宋_GB2312" w:hAnsi="仿宋_GB2312" w:eastAsia="仿宋_GB2312" w:cs="仿宋_GB2312"/>
          <w:color w:val="000000"/>
          <w:kern w:val="0"/>
          <w:sz w:val="32"/>
          <w:szCs w:val="32"/>
        </w:rPr>
        <w:t>9</w:t>
      </w:r>
      <w:r>
        <w:rPr>
          <w:rFonts w:hint="eastAsia" w:ascii="仿宋_GB2312" w:hAnsi="仿宋_GB2312" w:eastAsia="仿宋_GB2312" w:cs="仿宋_GB2312"/>
          <w:color w:val="000000"/>
          <w:kern w:val="0"/>
          <w:sz w:val="32"/>
          <w:szCs w:val="32"/>
        </w:rPr>
        <w:t>月之前发布的市政府规范性文件和政策性文件依法进行了全面清理。清理结果已经</w:t>
      </w:r>
      <w:r>
        <w:rPr>
          <w:rFonts w:ascii="仿宋_GB2312" w:hAnsi="仿宋_GB2312" w:eastAsia="仿宋_GB2312" w:cs="仿宋_GB2312"/>
          <w:color w:val="000000"/>
          <w:kern w:val="0"/>
          <w:sz w:val="32"/>
          <w:szCs w:val="32"/>
        </w:rPr>
        <w:t>2018</w:t>
      </w:r>
      <w:r>
        <w:rPr>
          <w:rFonts w:hint="eastAsia" w:ascii="仿宋_GB2312" w:hAnsi="仿宋_GB2312" w:eastAsia="仿宋_GB2312" w:cs="仿宋_GB2312"/>
          <w:color w:val="000000"/>
          <w:kern w:val="0"/>
          <w:sz w:val="32"/>
          <w:szCs w:val="32"/>
        </w:rPr>
        <w:t>年</w:t>
      </w:r>
      <w:r>
        <w:rPr>
          <w:rFonts w:ascii="仿宋_GB2312" w:hAnsi="仿宋_GB2312" w:eastAsia="仿宋_GB2312" w:cs="仿宋_GB2312"/>
          <w:color w:val="000000"/>
          <w:kern w:val="0"/>
          <w:sz w:val="32"/>
          <w:szCs w:val="32"/>
        </w:rPr>
        <w:t xml:space="preserve"> 11</w:t>
      </w:r>
      <w:r>
        <w:rPr>
          <w:rFonts w:hint="eastAsia" w:ascii="仿宋_GB2312" w:hAnsi="仿宋_GB2312" w:eastAsia="仿宋_GB2312" w:cs="仿宋_GB2312"/>
          <w:color w:val="000000"/>
          <w:kern w:val="0"/>
          <w:sz w:val="32"/>
          <w:szCs w:val="32"/>
        </w:rPr>
        <w:t>月</w:t>
      </w:r>
      <w:r>
        <w:rPr>
          <w:rFonts w:ascii="仿宋_GB2312" w:hAnsi="仿宋_GB2312" w:eastAsia="仿宋_GB2312" w:cs="仿宋_GB2312"/>
          <w:color w:val="000000"/>
          <w:kern w:val="0"/>
          <w:sz w:val="32"/>
          <w:szCs w:val="32"/>
        </w:rPr>
        <w:t>6</w:t>
      </w:r>
      <w:r>
        <w:rPr>
          <w:rFonts w:hint="eastAsia" w:ascii="仿宋_GB2312" w:hAnsi="仿宋_GB2312" w:eastAsia="仿宋_GB2312" w:cs="仿宋_GB2312"/>
          <w:color w:val="000000"/>
          <w:kern w:val="0"/>
          <w:sz w:val="32"/>
          <w:szCs w:val="32"/>
        </w:rPr>
        <w:t>日第</w:t>
      </w:r>
      <w:r>
        <w:rPr>
          <w:rFonts w:ascii="仿宋_GB2312" w:hAnsi="仿宋_GB2312" w:eastAsia="仿宋_GB2312" w:cs="仿宋_GB2312"/>
          <w:color w:val="000000"/>
          <w:kern w:val="0"/>
          <w:sz w:val="32"/>
          <w:szCs w:val="32"/>
        </w:rPr>
        <w:t>18</w:t>
      </w:r>
      <w:r>
        <w:rPr>
          <w:rFonts w:hint="eastAsia" w:ascii="仿宋_GB2312" w:hAnsi="仿宋_GB2312" w:eastAsia="仿宋_GB2312" w:cs="仿宋_GB2312"/>
          <w:color w:val="000000"/>
          <w:kern w:val="0"/>
          <w:sz w:val="32"/>
          <w:szCs w:val="32"/>
        </w:rPr>
        <w:t>届</w:t>
      </w:r>
      <w:r>
        <w:rPr>
          <w:rFonts w:ascii="仿宋_GB2312" w:hAnsi="仿宋_GB2312" w:eastAsia="仿宋_GB2312" w:cs="仿宋_GB2312"/>
          <w:color w:val="000000"/>
          <w:kern w:val="0"/>
          <w:sz w:val="32"/>
          <w:szCs w:val="32"/>
        </w:rPr>
        <w:t>27</w:t>
      </w:r>
      <w:r>
        <w:rPr>
          <w:rFonts w:hint="eastAsia" w:ascii="仿宋_GB2312" w:hAnsi="仿宋_GB2312" w:eastAsia="仿宋_GB2312" w:cs="仿宋_GB2312"/>
          <w:color w:val="000000"/>
          <w:kern w:val="0"/>
          <w:sz w:val="32"/>
          <w:szCs w:val="32"/>
        </w:rPr>
        <w:t>次市政府常务会议审议通过，现公布如下：</w:t>
      </w:r>
    </w:p>
    <w:p>
      <w:pPr>
        <w:spacing w:line="540" w:lineRule="exact"/>
        <w:ind w:firstLine="640"/>
        <w:rPr>
          <w:rFonts w:ascii="仿宋_GB2312" w:hAnsi="仿宋_GB2312" w:eastAsia="仿宋_GB2312" w:cs="Times New Roman"/>
          <w:color w:val="000000"/>
          <w:kern w:val="0"/>
          <w:sz w:val="32"/>
          <w:szCs w:val="32"/>
        </w:rPr>
      </w:pPr>
      <w:r>
        <w:rPr>
          <w:rFonts w:hint="eastAsia" w:ascii="仿宋_GB2312" w:hAnsi="仿宋_GB2312" w:eastAsia="仿宋_GB2312" w:cs="仿宋_GB2312"/>
          <w:b/>
          <w:bCs/>
          <w:color w:val="000000"/>
          <w:kern w:val="0"/>
          <w:sz w:val="32"/>
          <w:szCs w:val="32"/>
        </w:rPr>
        <w:t>一、</w:t>
      </w:r>
      <w:r>
        <w:rPr>
          <w:rFonts w:hint="eastAsia" w:ascii="仿宋_GB2312" w:hAnsi="仿宋_GB2312" w:eastAsia="仿宋_GB2312" w:cs="仿宋_GB2312"/>
          <w:color w:val="000000"/>
          <w:kern w:val="0"/>
          <w:sz w:val="32"/>
          <w:szCs w:val="32"/>
        </w:rPr>
        <w:t>《滕州市人民政府关于解决国有企业破产终结工作问题的意见》等</w:t>
      </w:r>
      <w:r>
        <w:rPr>
          <w:rFonts w:ascii="仿宋_GB2312" w:hAnsi="仿宋_GB2312" w:eastAsia="仿宋_GB2312" w:cs="仿宋_GB2312"/>
          <w:color w:val="000000"/>
          <w:kern w:val="0"/>
          <w:sz w:val="32"/>
          <w:szCs w:val="32"/>
        </w:rPr>
        <w:t>186</w:t>
      </w:r>
      <w:r>
        <w:rPr>
          <w:rFonts w:hint="eastAsia" w:ascii="仿宋_GB2312" w:hAnsi="仿宋_GB2312" w:eastAsia="仿宋_GB2312" w:cs="仿宋_GB2312"/>
          <w:color w:val="000000"/>
          <w:kern w:val="0"/>
          <w:sz w:val="32"/>
          <w:szCs w:val="32"/>
        </w:rPr>
        <w:t>件市政府规范性文件和政策性文件继续有效。</w:t>
      </w:r>
    </w:p>
    <w:p>
      <w:pPr>
        <w:spacing w:line="540" w:lineRule="exact"/>
        <w:ind w:firstLine="640"/>
        <w:rPr>
          <w:rFonts w:ascii="仿宋_GB2312" w:hAnsi="仿宋_GB2312" w:eastAsia="仿宋_GB2312" w:cs="Times New Roman"/>
          <w:color w:val="000000"/>
          <w:kern w:val="0"/>
          <w:sz w:val="32"/>
          <w:szCs w:val="32"/>
        </w:rPr>
      </w:pPr>
      <w:r>
        <w:rPr>
          <w:rFonts w:hint="eastAsia" w:ascii="仿宋_GB2312" w:hAnsi="仿宋_GB2312" w:eastAsia="仿宋_GB2312" w:cs="仿宋_GB2312"/>
          <w:b/>
          <w:bCs/>
          <w:color w:val="000000"/>
          <w:kern w:val="0"/>
          <w:sz w:val="32"/>
          <w:szCs w:val="32"/>
        </w:rPr>
        <w:t>二、</w:t>
      </w:r>
      <w:r>
        <w:rPr>
          <w:rFonts w:hint="eastAsia" w:ascii="仿宋_GB2312" w:hAnsi="仿宋_GB2312" w:eastAsia="仿宋_GB2312" w:cs="仿宋_GB2312"/>
          <w:color w:val="000000"/>
          <w:kern w:val="0"/>
          <w:sz w:val="32"/>
          <w:szCs w:val="32"/>
        </w:rPr>
        <w:t>《滕州市人民政府关于印发</w:t>
      </w:r>
      <w:r>
        <w:rPr>
          <w:rFonts w:ascii="仿宋_GB2312" w:hAnsi="仿宋_GB2312" w:eastAsia="仿宋_GB2312" w:cs="仿宋_GB2312"/>
          <w:color w:val="000000"/>
          <w:kern w:val="0"/>
          <w:sz w:val="32"/>
          <w:szCs w:val="32"/>
        </w:rPr>
        <w:t>&lt;</w:t>
      </w:r>
      <w:r>
        <w:rPr>
          <w:rFonts w:hint="eastAsia" w:ascii="仿宋_GB2312" w:hAnsi="仿宋_GB2312" w:eastAsia="仿宋_GB2312" w:cs="仿宋_GB2312"/>
          <w:color w:val="000000"/>
          <w:kern w:val="0"/>
          <w:sz w:val="32"/>
          <w:szCs w:val="32"/>
        </w:rPr>
        <w:t>市国有资产经营性收入收缴管理意见</w:t>
      </w:r>
      <w:r>
        <w:rPr>
          <w:rFonts w:ascii="仿宋_GB2312" w:hAnsi="仿宋_GB2312" w:eastAsia="仿宋_GB2312" w:cs="仿宋_GB2312"/>
          <w:color w:val="000000"/>
          <w:kern w:val="0"/>
          <w:sz w:val="32"/>
          <w:szCs w:val="32"/>
        </w:rPr>
        <w:t>&gt;</w:t>
      </w:r>
      <w:r>
        <w:rPr>
          <w:rFonts w:hint="eastAsia" w:ascii="仿宋_GB2312" w:hAnsi="仿宋_GB2312" w:eastAsia="仿宋_GB2312" w:cs="仿宋_GB2312"/>
          <w:color w:val="000000"/>
          <w:kern w:val="0"/>
          <w:sz w:val="32"/>
          <w:szCs w:val="32"/>
        </w:rPr>
        <w:t>的通知》等</w:t>
      </w:r>
      <w:r>
        <w:rPr>
          <w:rFonts w:ascii="仿宋_GB2312" w:hAnsi="仿宋_GB2312" w:eastAsia="仿宋_GB2312" w:cs="仿宋_GB2312"/>
          <w:color w:val="000000"/>
          <w:kern w:val="0"/>
          <w:sz w:val="32"/>
          <w:szCs w:val="32"/>
        </w:rPr>
        <w:t>8</w:t>
      </w:r>
      <w:r>
        <w:rPr>
          <w:rFonts w:hint="eastAsia" w:ascii="仿宋_GB2312" w:hAnsi="仿宋_GB2312" w:eastAsia="仿宋_GB2312" w:cs="仿宋_GB2312"/>
          <w:color w:val="000000"/>
          <w:kern w:val="0"/>
          <w:sz w:val="32"/>
          <w:szCs w:val="32"/>
        </w:rPr>
        <w:t>件市政府规范性文件和政策性文件需要修改。需要修改的市政府规范性文件和政策性文件，与法律、法规、规章和上级政策规定不一致的，执行法律、法规、规章和上级政策规定；其他内容继续有效，有效期至</w:t>
      </w:r>
      <w:r>
        <w:rPr>
          <w:rFonts w:ascii="仿宋_GB2312" w:hAnsi="仿宋_GB2312" w:eastAsia="仿宋_GB2312" w:cs="仿宋_GB2312"/>
          <w:color w:val="000000"/>
          <w:kern w:val="0"/>
          <w:sz w:val="32"/>
          <w:szCs w:val="32"/>
        </w:rPr>
        <w:t>2018</w:t>
      </w:r>
      <w:r>
        <w:rPr>
          <w:rFonts w:hint="eastAsia" w:ascii="仿宋_GB2312" w:hAnsi="仿宋_GB2312" w:eastAsia="仿宋_GB2312" w:cs="仿宋_GB2312"/>
          <w:color w:val="000000"/>
          <w:kern w:val="0"/>
          <w:sz w:val="32"/>
          <w:szCs w:val="32"/>
        </w:rPr>
        <w:t>年</w:t>
      </w:r>
      <w:r>
        <w:rPr>
          <w:rFonts w:ascii="仿宋_GB2312" w:hAnsi="仿宋_GB2312" w:eastAsia="仿宋_GB2312" w:cs="仿宋_GB2312"/>
          <w:color w:val="000000"/>
          <w:kern w:val="0"/>
          <w:sz w:val="32"/>
          <w:szCs w:val="32"/>
        </w:rPr>
        <w:t xml:space="preserve"> 12</w:t>
      </w:r>
      <w:r>
        <w:rPr>
          <w:rFonts w:hint="eastAsia" w:ascii="仿宋_GB2312" w:hAnsi="仿宋_GB2312" w:eastAsia="仿宋_GB2312" w:cs="仿宋_GB2312"/>
          <w:color w:val="000000"/>
          <w:kern w:val="0"/>
          <w:sz w:val="32"/>
          <w:szCs w:val="32"/>
        </w:rPr>
        <w:t>月</w:t>
      </w:r>
      <w:r>
        <w:rPr>
          <w:rFonts w:ascii="仿宋_GB2312" w:hAnsi="仿宋_GB2312" w:eastAsia="仿宋_GB2312" w:cs="仿宋_GB2312"/>
          <w:color w:val="000000"/>
          <w:kern w:val="0"/>
          <w:sz w:val="32"/>
          <w:szCs w:val="32"/>
        </w:rPr>
        <w:t>31</w:t>
      </w:r>
      <w:r>
        <w:rPr>
          <w:rFonts w:hint="eastAsia" w:ascii="仿宋_GB2312" w:hAnsi="仿宋_GB2312" w:eastAsia="仿宋_GB2312" w:cs="仿宋_GB2312"/>
          <w:color w:val="000000"/>
          <w:kern w:val="0"/>
          <w:sz w:val="32"/>
          <w:szCs w:val="32"/>
        </w:rPr>
        <w:t>日。各部门要抓紧修改，于有效期前完成修改工作。逾期未完成修改的，原文件自动失效。</w:t>
      </w:r>
    </w:p>
    <w:p>
      <w:pPr>
        <w:pStyle w:val="5"/>
        <w:spacing w:beforeAutospacing="0" w:afterAutospacing="0" w:line="540" w:lineRule="exact"/>
        <w:ind w:firstLine="640"/>
        <w:jc w:val="both"/>
        <w:rPr>
          <w:rFonts w:ascii="仿宋_GB2312" w:hAnsi="仿宋_GB2312" w:eastAsia="仿宋_GB2312" w:cs="Times New Roman"/>
          <w:color w:val="000000"/>
          <w:sz w:val="32"/>
          <w:szCs w:val="32"/>
        </w:rPr>
      </w:pPr>
      <w:r>
        <w:rPr>
          <w:rFonts w:hint="eastAsia" w:ascii="仿宋_GB2312" w:hAnsi="仿宋_GB2312" w:eastAsia="仿宋_GB2312" w:cs="仿宋_GB2312"/>
          <w:b/>
          <w:bCs/>
          <w:color w:val="000000"/>
          <w:sz w:val="32"/>
          <w:szCs w:val="32"/>
        </w:rPr>
        <w:t>三、</w:t>
      </w:r>
      <w:r>
        <w:rPr>
          <w:rFonts w:hint="eastAsia" w:ascii="仿宋_GB2312" w:hAnsi="仿宋_GB2312" w:eastAsia="仿宋_GB2312" w:cs="仿宋_GB2312"/>
          <w:color w:val="000000"/>
          <w:sz w:val="32"/>
          <w:szCs w:val="32"/>
        </w:rPr>
        <w:t>《滕州市人民政府关于滕州市林果产业化工作意见》等</w:t>
      </w:r>
      <w:r>
        <w:rPr>
          <w:rFonts w:ascii="仿宋_GB2312" w:hAnsi="仿宋_GB2312" w:eastAsia="仿宋_GB2312" w:cs="仿宋_GB2312"/>
          <w:color w:val="000000"/>
          <w:sz w:val="32"/>
          <w:szCs w:val="32"/>
        </w:rPr>
        <w:t>50</w:t>
      </w:r>
      <w:r>
        <w:rPr>
          <w:rFonts w:hint="eastAsia" w:ascii="仿宋_GB2312" w:hAnsi="仿宋_GB2312" w:eastAsia="仿宋_GB2312" w:cs="仿宋_GB2312"/>
          <w:color w:val="000000"/>
          <w:sz w:val="32"/>
          <w:szCs w:val="32"/>
        </w:rPr>
        <w:t>件市政府规范性文件和政策性文件宣布废止和失效。废止和失效的文件自公布之日起停止执行，不再作为实施行政管理的依据。</w:t>
      </w:r>
    </w:p>
    <w:p>
      <w:pPr>
        <w:spacing w:line="540" w:lineRule="exact"/>
        <w:ind w:firstLine="640"/>
        <w:rPr>
          <w:rFonts w:ascii="仿宋_GB2312" w:hAnsi="仿宋_GB2312" w:eastAsia="仿宋_GB2312" w:cs="Times New Roman"/>
          <w:color w:val="000000"/>
          <w:kern w:val="0"/>
          <w:sz w:val="32"/>
          <w:szCs w:val="32"/>
        </w:rPr>
      </w:pPr>
    </w:p>
    <w:p>
      <w:pPr>
        <w:spacing w:line="540" w:lineRule="exact"/>
        <w:ind w:firstLine="640"/>
        <w:rPr>
          <w:rFonts w:ascii="仿宋_GB2312" w:hAnsi="仿宋_GB2312" w:eastAsia="仿宋_GB2312" w:cs="Times New Roman"/>
          <w:color w:val="000000"/>
          <w:kern w:val="0"/>
          <w:sz w:val="32"/>
          <w:szCs w:val="32"/>
        </w:rPr>
      </w:pPr>
      <w:r>
        <w:rPr>
          <w:rFonts w:hint="eastAsia" w:ascii="仿宋_GB2312" w:hAnsi="仿宋_GB2312" w:eastAsia="仿宋_GB2312" w:cs="仿宋_GB2312"/>
          <w:color w:val="000000"/>
          <w:kern w:val="0"/>
          <w:sz w:val="32"/>
          <w:szCs w:val="32"/>
        </w:rPr>
        <w:t>附</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市政府规范性文件、政策性文件目录</w:t>
      </w:r>
    </w:p>
    <w:p>
      <w:pPr>
        <w:spacing w:line="540" w:lineRule="exact"/>
        <w:ind w:firstLine="64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w:t>
      </w:r>
      <w:r>
        <w:rPr>
          <w:rFonts w:ascii="仿宋_GB2312" w:hAnsi="仿宋_GB2312" w:eastAsia="仿宋_GB2312" w:cs="Times New Roman"/>
          <w:color w:val="000000"/>
          <w:kern w:val="0"/>
          <w:sz w:val="32"/>
          <w:szCs w:val="32"/>
        </w:rPr>
        <w:t> </w:t>
      </w:r>
      <w:r>
        <w:rPr>
          <w:rFonts w:ascii="仿宋_GB2312" w:hAnsi="仿宋_GB2312" w:eastAsia="仿宋_GB2312" w:cs="仿宋_GB2312"/>
          <w:color w:val="000000"/>
          <w:kern w:val="0"/>
          <w:sz w:val="32"/>
          <w:szCs w:val="32"/>
        </w:rPr>
        <w:t xml:space="preserve">   </w:t>
      </w:r>
    </w:p>
    <w:p>
      <w:pPr>
        <w:spacing w:line="540" w:lineRule="exact"/>
        <w:ind w:firstLine="640"/>
        <w:rPr>
          <w:rFonts w:ascii="仿宋_GB2312" w:hAnsi="仿宋_GB2312" w:eastAsia="仿宋_GB2312" w:cs="仿宋_GB2312"/>
          <w:color w:val="000000"/>
          <w:kern w:val="0"/>
          <w:sz w:val="32"/>
          <w:szCs w:val="32"/>
        </w:rPr>
      </w:pPr>
    </w:p>
    <w:p>
      <w:pPr>
        <w:spacing w:line="540" w:lineRule="exact"/>
        <w:rPr>
          <w:rFonts w:ascii="仿宋_GB2312" w:hAnsi="仿宋_GB2312" w:eastAsia="仿宋_GB2312" w:cs="Times New Roman"/>
          <w:color w:val="000000"/>
          <w:kern w:val="0"/>
          <w:sz w:val="32"/>
          <w:szCs w:val="32"/>
        </w:rPr>
      </w:pP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滕州市人民政府</w:t>
      </w:r>
    </w:p>
    <w:p>
      <w:pPr>
        <w:spacing w:line="540" w:lineRule="exact"/>
        <w:rPr>
          <w:rFonts w:ascii="仿宋_GB2312" w:hAnsi="仿宋_GB2312" w:eastAsia="仿宋_GB2312" w:cs="Times New Roman"/>
          <w:color w:val="000000"/>
          <w:kern w:val="0"/>
          <w:sz w:val="32"/>
          <w:szCs w:val="32"/>
        </w:rPr>
      </w:pPr>
      <w:r>
        <w:rPr>
          <w:rFonts w:ascii="仿宋_GB2312" w:hAnsi="仿宋_GB2312" w:eastAsia="仿宋_GB2312" w:cs="仿宋_GB2312"/>
          <w:color w:val="000000"/>
          <w:kern w:val="0"/>
          <w:sz w:val="32"/>
          <w:szCs w:val="32"/>
        </w:rPr>
        <w:t xml:space="preserve">                              2018</w:t>
      </w:r>
      <w:r>
        <w:rPr>
          <w:rFonts w:hint="eastAsia" w:ascii="仿宋_GB2312" w:hAnsi="仿宋_GB2312" w:eastAsia="仿宋_GB2312" w:cs="仿宋_GB2312"/>
          <w:color w:val="000000"/>
          <w:kern w:val="0"/>
          <w:sz w:val="32"/>
          <w:szCs w:val="32"/>
        </w:rPr>
        <w:t>年</w:t>
      </w:r>
      <w:r>
        <w:rPr>
          <w:rFonts w:ascii="仿宋_GB2312" w:hAnsi="仿宋_GB2312" w:eastAsia="仿宋_GB2312" w:cs="仿宋_GB2312"/>
          <w:color w:val="000000"/>
          <w:kern w:val="0"/>
          <w:sz w:val="32"/>
          <w:szCs w:val="32"/>
        </w:rPr>
        <w:t>11</w:t>
      </w:r>
      <w:r>
        <w:rPr>
          <w:rFonts w:hint="eastAsia" w:ascii="仿宋_GB2312" w:hAnsi="仿宋_GB2312" w:eastAsia="仿宋_GB2312" w:cs="仿宋_GB2312"/>
          <w:color w:val="000000"/>
          <w:kern w:val="0"/>
          <w:sz w:val="32"/>
          <w:szCs w:val="32"/>
        </w:rPr>
        <w:t>月</w:t>
      </w:r>
      <w:r>
        <w:rPr>
          <w:rFonts w:ascii="仿宋_GB2312" w:hAnsi="仿宋_GB2312" w:eastAsia="仿宋_GB2312" w:cs="仿宋_GB2312"/>
          <w:color w:val="000000"/>
          <w:kern w:val="0"/>
          <w:sz w:val="32"/>
          <w:szCs w:val="32"/>
        </w:rPr>
        <w:t>30</w:t>
      </w:r>
      <w:r>
        <w:rPr>
          <w:rFonts w:hint="eastAsia" w:ascii="仿宋_GB2312" w:hAnsi="仿宋_GB2312" w:eastAsia="仿宋_GB2312" w:cs="仿宋_GB2312"/>
          <w:color w:val="000000"/>
          <w:kern w:val="0"/>
          <w:sz w:val="32"/>
          <w:szCs w:val="32"/>
        </w:rPr>
        <w:t>日</w:t>
      </w:r>
    </w:p>
    <w:p>
      <w:pPr>
        <w:tabs>
          <w:tab w:val="center" w:pos="6777"/>
          <w:tab w:val="left" w:pos="11983"/>
        </w:tabs>
        <w:spacing w:line="560" w:lineRule="exact"/>
        <w:jc w:val="center"/>
        <w:rPr>
          <w:rFonts w:ascii="方正小标宋简体" w:hAnsi="方正小标宋简体" w:eastAsia="方正小标宋简体" w:cs="Times New Roman"/>
          <w:color w:val="000000"/>
          <w:sz w:val="44"/>
          <w:szCs w:val="44"/>
        </w:rPr>
        <w:sectPr>
          <w:footerReference r:id="rId3" w:type="default"/>
          <w:pgSz w:w="11906" w:h="16838"/>
          <w:pgMar w:top="1701" w:right="1701" w:bottom="1701" w:left="1701" w:header="851" w:footer="1304" w:gutter="0"/>
          <w:pgNumType w:fmt="numberInDash"/>
          <w:cols w:space="425" w:num="1"/>
          <w:docGrid w:type="lines" w:linePitch="312" w:charSpace="0"/>
        </w:sectPr>
      </w:pPr>
    </w:p>
    <w:p>
      <w:pPr>
        <w:tabs>
          <w:tab w:val="center" w:pos="6777"/>
          <w:tab w:val="left" w:pos="11983"/>
        </w:tabs>
        <w:spacing w:line="560" w:lineRule="exact"/>
        <w:jc w:val="center"/>
        <w:rPr>
          <w:rFonts w:ascii="方正小标宋简体" w:hAnsi="方正小标宋简体" w:eastAsia="方正小标宋简体" w:cs="Times New Roman"/>
          <w:color w:val="000000"/>
          <w:sz w:val="44"/>
          <w:szCs w:val="44"/>
        </w:rPr>
      </w:pPr>
      <w:r>
        <w:rPr>
          <w:rFonts w:hint="eastAsia" w:ascii="方正小标宋简体" w:hAnsi="方正小标宋简体" w:eastAsia="方正小标宋简体" w:cs="方正小标宋简体"/>
          <w:color w:val="000000"/>
          <w:sz w:val="44"/>
          <w:szCs w:val="44"/>
        </w:rPr>
        <w:t>市政府</w:t>
      </w:r>
      <w:bookmarkStart w:id="0" w:name="_GoBack"/>
      <w:bookmarkEnd w:id="0"/>
      <w:r>
        <w:rPr>
          <w:rFonts w:hint="eastAsia" w:ascii="方正小标宋简体" w:hAnsi="方正小标宋简体" w:eastAsia="方正小标宋简体" w:cs="方正小标宋简体"/>
          <w:color w:val="000000"/>
          <w:sz w:val="44"/>
          <w:szCs w:val="44"/>
          <w:lang w:eastAsia="zh-CN"/>
        </w:rPr>
        <w:t>规范性文件</w:t>
      </w:r>
      <w:r>
        <w:rPr>
          <w:rFonts w:hint="eastAsia" w:ascii="方正小标宋简体" w:hAnsi="方正小标宋简体" w:eastAsia="方正小标宋简体" w:cs="方正小标宋简体"/>
          <w:color w:val="000000"/>
          <w:sz w:val="44"/>
          <w:szCs w:val="44"/>
        </w:rPr>
        <w:t>、政策性文件目录</w:t>
      </w:r>
    </w:p>
    <w:p>
      <w:pPr>
        <w:tabs>
          <w:tab w:val="left" w:pos="2533"/>
        </w:tabs>
        <w:spacing w:line="360" w:lineRule="exact"/>
        <w:rPr>
          <w:rFonts w:ascii="仿宋_GB2312" w:hAnsi="仿宋_GB2312" w:eastAsia="仿宋_GB2312" w:cs="Times New Roman"/>
          <w:color w:val="000000"/>
          <w:sz w:val="32"/>
          <w:szCs w:val="32"/>
        </w:rPr>
      </w:pPr>
      <w:r>
        <w:rPr>
          <w:rFonts w:ascii="仿宋_GB2312" w:hAnsi="仿宋_GB2312" w:eastAsia="仿宋_GB2312" w:cs="Times New Roman"/>
          <w:color w:val="000000"/>
          <w:sz w:val="32"/>
          <w:szCs w:val="32"/>
        </w:rPr>
        <w:t> </w:t>
      </w:r>
    </w:p>
    <w:p>
      <w:pPr>
        <w:widowControl/>
        <w:spacing w:line="560" w:lineRule="exact"/>
        <w:ind w:firstLine="320" w:firstLineChars="100"/>
        <w:jc w:val="left"/>
        <w:rPr>
          <w:rFonts w:ascii="楷体_GB2312" w:hAnsi="楷体_GB2312" w:eastAsia="楷体_GB2312" w:cs="Times New Roman"/>
          <w:color w:val="000000"/>
          <w:sz w:val="32"/>
          <w:szCs w:val="32"/>
        </w:rPr>
      </w:pPr>
      <w:r>
        <w:rPr>
          <w:rFonts w:hint="eastAsia" w:ascii="黑体" w:hAnsi="黑体" w:eastAsia="黑体" w:cs="黑体"/>
          <w:color w:val="000000"/>
          <w:sz w:val="32"/>
          <w:szCs w:val="32"/>
        </w:rPr>
        <w:t>一、继续有效的规范性文件目录</w:t>
      </w:r>
    </w:p>
    <w:tbl>
      <w:tblPr>
        <w:tblStyle w:val="6"/>
        <w:tblW w:w="136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2792"/>
        <w:gridCol w:w="7273"/>
        <w:gridCol w:w="2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spacing w:line="380" w:lineRule="exact"/>
              <w:jc w:val="center"/>
              <w:rPr>
                <w:rFonts w:ascii="黑体" w:hAnsi="黑体" w:eastAsia="黑体" w:cs="Times New Roman"/>
                <w:color w:val="000000"/>
                <w:sz w:val="24"/>
                <w:szCs w:val="24"/>
              </w:rPr>
            </w:pPr>
            <w:r>
              <w:rPr>
                <w:rFonts w:hint="eastAsia" w:ascii="黑体" w:hAnsi="黑体" w:eastAsia="黑体" w:cs="黑体"/>
                <w:color w:val="000000"/>
                <w:sz w:val="24"/>
                <w:szCs w:val="24"/>
              </w:rPr>
              <w:t>序号</w:t>
            </w:r>
          </w:p>
        </w:tc>
        <w:tc>
          <w:tcPr>
            <w:tcW w:w="2792" w:type="dxa"/>
            <w:vAlign w:val="center"/>
          </w:tcPr>
          <w:p>
            <w:pPr>
              <w:spacing w:line="380" w:lineRule="exact"/>
              <w:jc w:val="center"/>
              <w:rPr>
                <w:rFonts w:ascii="黑体" w:hAnsi="黑体" w:eastAsia="黑体" w:cs="Times New Roman"/>
                <w:color w:val="000000"/>
                <w:sz w:val="24"/>
                <w:szCs w:val="24"/>
              </w:rPr>
            </w:pPr>
            <w:r>
              <w:rPr>
                <w:rFonts w:hint="eastAsia" w:ascii="黑体" w:hAnsi="黑体" w:eastAsia="黑体" w:cs="黑体"/>
                <w:color w:val="000000"/>
                <w:sz w:val="24"/>
                <w:szCs w:val="24"/>
              </w:rPr>
              <w:t>文</w:t>
            </w:r>
            <w:r>
              <w:rPr>
                <w:rFonts w:ascii="黑体" w:hAnsi="黑体" w:eastAsia="黑体" w:cs="黑体"/>
                <w:color w:val="000000"/>
                <w:sz w:val="24"/>
                <w:szCs w:val="24"/>
              </w:rPr>
              <w:t xml:space="preserve">  </w:t>
            </w:r>
            <w:r>
              <w:rPr>
                <w:rFonts w:hint="eastAsia" w:ascii="黑体" w:hAnsi="黑体" w:eastAsia="黑体" w:cs="黑体"/>
                <w:color w:val="000000"/>
                <w:sz w:val="24"/>
                <w:szCs w:val="24"/>
              </w:rPr>
              <w:t>号</w:t>
            </w:r>
          </w:p>
        </w:tc>
        <w:tc>
          <w:tcPr>
            <w:tcW w:w="7273" w:type="dxa"/>
            <w:vAlign w:val="center"/>
          </w:tcPr>
          <w:p>
            <w:pPr>
              <w:spacing w:line="380" w:lineRule="exact"/>
              <w:jc w:val="center"/>
              <w:rPr>
                <w:rFonts w:ascii="黑体" w:hAnsi="黑体" w:eastAsia="黑体" w:cs="Times New Roman"/>
                <w:color w:val="000000"/>
                <w:sz w:val="24"/>
                <w:szCs w:val="24"/>
              </w:rPr>
            </w:pPr>
            <w:r>
              <w:rPr>
                <w:rFonts w:hint="eastAsia" w:ascii="黑体" w:hAnsi="黑体" w:eastAsia="黑体" w:cs="黑体"/>
                <w:color w:val="000000"/>
                <w:sz w:val="24"/>
                <w:szCs w:val="24"/>
              </w:rPr>
              <w:t>文</w:t>
            </w:r>
            <w:r>
              <w:rPr>
                <w:rFonts w:ascii="黑体" w:hAnsi="黑体" w:eastAsia="黑体" w:cs="黑体"/>
                <w:color w:val="000000"/>
                <w:sz w:val="24"/>
                <w:szCs w:val="24"/>
              </w:rPr>
              <w:t xml:space="preserve"> </w:t>
            </w:r>
            <w:r>
              <w:rPr>
                <w:rFonts w:hint="eastAsia" w:ascii="黑体" w:hAnsi="黑体" w:eastAsia="黑体" w:cs="黑体"/>
                <w:color w:val="000000"/>
                <w:sz w:val="24"/>
                <w:szCs w:val="24"/>
              </w:rPr>
              <w:t>件</w:t>
            </w:r>
            <w:r>
              <w:rPr>
                <w:rFonts w:ascii="黑体" w:hAnsi="黑体" w:eastAsia="黑体" w:cs="黑体"/>
                <w:color w:val="000000"/>
                <w:sz w:val="24"/>
                <w:szCs w:val="24"/>
              </w:rPr>
              <w:t xml:space="preserve"> </w:t>
            </w:r>
            <w:r>
              <w:rPr>
                <w:rFonts w:hint="eastAsia" w:ascii="黑体" w:hAnsi="黑体" w:eastAsia="黑体" w:cs="黑体"/>
                <w:color w:val="000000"/>
                <w:sz w:val="24"/>
                <w:szCs w:val="24"/>
              </w:rPr>
              <w:t>名</w:t>
            </w:r>
            <w:r>
              <w:rPr>
                <w:rFonts w:ascii="黑体" w:hAnsi="黑体" w:eastAsia="黑体" w:cs="黑体"/>
                <w:color w:val="000000"/>
                <w:sz w:val="24"/>
                <w:szCs w:val="24"/>
              </w:rPr>
              <w:t xml:space="preserve"> </w:t>
            </w:r>
            <w:r>
              <w:rPr>
                <w:rFonts w:hint="eastAsia" w:ascii="黑体" w:hAnsi="黑体" w:eastAsia="黑体" w:cs="黑体"/>
                <w:color w:val="000000"/>
                <w:sz w:val="24"/>
                <w:szCs w:val="24"/>
              </w:rPr>
              <w:t>称</w:t>
            </w:r>
          </w:p>
        </w:tc>
        <w:tc>
          <w:tcPr>
            <w:tcW w:w="2896" w:type="dxa"/>
            <w:vAlign w:val="center"/>
          </w:tcPr>
          <w:p>
            <w:pPr>
              <w:spacing w:line="380" w:lineRule="exact"/>
              <w:jc w:val="center"/>
              <w:rPr>
                <w:rFonts w:ascii="黑体" w:hAnsi="黑体" w:eastAsia="黑体" w:cs="Times New Roman"/>
                <w:color w:val="000000"/>
                <w:sz w:val="24"/>
                <w:szCs w:val="24"/>
              </w:rPr>
            </w:pPr>
            <w:r>
              <w:rPr>
                <w:rFonts w:hint="eastAsia" w:ascii="黑体" w:hAnsi="黑体" w:eastAsia="黑体" w:cs="黑体"/>
                <w:color w:val="000000"/>
                <w:sz w:val="24"/>
                <w:szCs w:val="24"/>
              </w:rPr>
              <w:t>起草单位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1"/>
                <w:sz w:val="24"/>
                <w:szCs w:val="24"/>
              </w:rPr>
              <w:t>滕政发〔</w:t>
            </w:r>
            <w:r>
              <w:rPr>
                <w:rFonts w:ascii="仿宋_GB2312" w:hAnsi="仿宋_GB2312" w:eastAsia="仿宋_GB2312" w:cs="仿宋_GB2312"/>
                <w:color w:val="000000"/>
                <w:spacing w:val="-1"/>
                <w:sz w:val="24"/>
                <w:szCs w:val="24"/>
              </w:rPr>
              <w:t>2003</w:t>
            </w:r>
            <w:r>
              <w:rPr>
                <w:rFonts w:hint="eastAsia" w:ascii="仿宋_GB2312" w:hAnsi="仿宋_GB2312" w:eastAsia="仿宋_GB2312" w:cs="仿宋_GB2312"/>
                <w:color w:val="000000"/>
                <w:spacing w:val="-1"/>
                <w:sz w:val="24"/>
                <w:szCs w:val="24"/>
              </w:rPr>
              <w:t>〕</w:t>
            </w:r>
            <w:r>
              <w:rPr>
                <w:rFonts w:ascii="仿宋_GB2312" w:hAnsi="仿宋_GB2312" w:eastAsia="仿宋_GB2312" w:cs="仿宋_GB2312"/>
                <w:color w:val="000000"/>
                <w:spacing w:val="-1"/>
                <w:sz w:val="24"/>
                <w:szCs w:val="24"/>
              </w:rPr>
              <w:t>35</w:t>
            </w:r>
            <w:r>
              <w:rPr>
                <w:rFonts w:hint="eastAsia" w:ascii="仿宋_GB2312" w:hAnsi="仿宋_GB2312" w:eastAsia="仿宋_GB2312" w:cs="仿宋_GB2312"/>
                <w:color w:val="000000"/>
                <w:spacing w:val="-1"/>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1"/>
                <w:sz w:val="24"/>
                <w:szCs w:val="24"/>
              </w:rPr>
              <w:t>关于解决国有企业破产终结工作问题的意见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市发改局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2004</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96</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333333"/>
                <w:sz w:val="24"/>
                <w:szCs w:val="24"/>
                <w:shd w:val="clear" w:color="auto" w:fill="FFFFFF"/>
              </w:rPr>
            </w:pPr>
            <w:r>
              <w:rPr>
                <w:rFonts w:hint="eastAsia" w:ascii="仿宋_GB2312" w:hAnsi="仿宋_GB2312" w:eastAsia="仿宋_GB2312" w:cs="仿宋_GB2312"/>
                <w:color w:val="000000"/>
                <w:sz w:val="24"/>
                <w:szCs w:val="24"/>
              </w:rPr>
              <w:t>关于贯彻落实《山东省计划生育技术服务管理办法》的实施意见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滕政发〔</w:t>
            </w:r>
            <w:r>
              <w:rPr>
                <w:rFonts w:ascii="仿宋_GB2312" w:hAnsi="仿宋_GB2312" w:eastAsia="仿宋_GB2312" w:cs="仿宋_GB2312"/>
                <w:sz w:val="24"/>
                <w:szCs w:val="24"/>
              </w:rPr>
              <w:t>2005</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54</w:t>
            </w:r>
            <w:r>
              <w:rPr>
                <w:rFonts w:hint="eastAsia" w:ascii="仿宋_GB2312" w:hAnsi="仿宋_GB2312" w:eastAsia="仿宋_GB2312" w:cs="仿宋_GB2312"/>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关于实行政府投资项目代建制的意见（试行）</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市财政局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滕政发〔</w:t>
            </w:r>
            <w:r>
              <w:rPr>
                <w:rFonts w:ascii="仿宋_GB2312" w:hAnsi="仿宋_GB2312" w:eastAsia="仿宋_GB2312" w:cs="仿宋_GB2312"/>
                <w:sz w:val="24"/>
                <w:szCs w:val="24"/>
              </w:rPr>
              <w:t>2005</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60</w:t>
            </w:r>
            <w:r>
              <w:rPr>
                <w:rFonts w:hint="eastAsia" w:ascii="仿宋_GB2312" w:hAnsi="仿宋_GB2312" w:eastAsia="仿宋_GB2312" w:cs="仿宋_GB2312"/>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关于转发《枣庄市城市基础设施配套费（房地产综合开发费部分）征收管理办法》和《枣庄市城市基础设施配套费（小城镇部分）征收管理办法》的通知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市财政局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2007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10</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333333"/>
                <w:sz w:val="24"/>
                <w:szCs w:val="24"/>
                <w:shd w:val="clear" w:color="auto" w:fill="FFFFFF"/>
              </w:rPr>
              <w:t>关于推进农村土地承包经营权流转的实施意见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市经管局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2007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31</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333333"/>
                <w:sz w:val="24"/>
                <w:szCs w:val="24"/>
                <w:shd w:val="clear" w:color="auto" w:fill="FFFFFF"/>
              </w:rPr>
            </w:pPr>
            <w:r>
              <w:rPr>
                <w:rFonts w:hint="eastAsia" w:ascii="仿宋_GB2312" w:hAnsi="仿宋_GB2312" w:eastAsia="仿宋_GB2312" w:cs="仿宋_GB2312"/>
                <w:color w:val="000000"/>
                <w:sz w:val="24"/>
                <w:szCs w:val="24"/>
              </w:rPr>
              <w:t>关于加强政府非税收入征收管理的意见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市财政局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2007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43</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1"/>
                <w:sz w:val="24"/>
                <w:szCs w:val="24"/>
              </w:rPr>
              <w:t>关于进一步明确破产企业职工安置和社会保险有关问题的意见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市发改局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2007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79</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关于印发《滕州市国有土地使用权出让收支管理办法》的通知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市财政局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2008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102</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333333"/>
                <w:sz w:val="24"/>
                <w:szCs w:val="24"/>
                <w:shd w:val="clear" w:color="auto" w:fill="FFFFFF"/>
              </w:rPr>
            </w:pPr>
            <w:r>
              <w:rPr>
                <w:rFonts w:hint="eastAsia" w:ascii="仿宋_GB2312" w:hAnsi="仿宋_GB2312" w:eastAsia="仿宋_GB2312" w:cs="仿宋_GB2312"/>
                <w:color w:val="000000"/>
                <w:sz w:val="24"/>
                <w:szCs w:val="24"/>
              </w:rPr>
              <w:t>关于印发《滕州市除四害管理办法》的通知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2008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103</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关于印发《滕州市爱国卫生工作管理规定》的通知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1"/>
                <w:sz w:val="24"/>
                <w:szCs w:val="24"/>
              </w:rPr>
              <w:t>滕政发〔</w:t>
            </w:r>
            <w:r>
              <w:rPr>
                <w:rFonts w:ascii="仿宋_GB2312" w:hAnsi="仿宋_GB2312" w:eastAsia="仿宋_GB2312" w:cs="仿宋_GB2312"/>
                <w:color w:val="000000"/>
                <w:spacing w:val="-1"/>
                <w:sz w:val="24"/>
                <w:szCs w:val="24"/>
              </w:rPr>
              <w:t>2010</w:t>
            </w:r>
            <w:r>
              <w:rPr>
                <w:rFonts w:hint="eastAsia" w:ascii="仿宋_GB2312" w:hAnsi="仿宋_GB2312" w:eastAsia="仿宋_GB2312" w:cs="仿宋_GB2312"/>
                <w:color w:val="000000"/>
                <w:spacing w:val="-1"/>
                <w:sz w:val="24"/>
                <w:szCs w:val="24"/>
              </w:rPr>
              <w:t>〕</w:t>
            </w:r>
            <w:r>
              <w:rPr>
                <w:rFonts w:ascii="仿宋_GB2312" w:hAnsi="仿宋_GB2312" w:eastAsia="仿宋_GB2312" w:cs="仿宋_GB2312"/>
                <w:color w:val="000000"/>
                <w:spacing w:val="-1"/>
                <w:sz w:val="24"/>
                <w:szCs w:val="24"/>
              </w:rPr>
              <w:t>42</w:t>
            </w:r>
            <w:r>
              <w:rPr>
                <w:rFonts w:hint="eastAsia" w:ascii="仿宋_GB2312" w:hAnsi="仿宋_GB2312" w:eastAsia="仿宋_GB2312" w:cs="仿宋_GB2312"/>
                <w:color w:val="000000"/>
                <w:spacing w:val="-1"/>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1"/>
                <w:sz w:val="24"/>
                <w:szCs w:val="24"/>
              </w:rPr>
              <w:t>滕州市推进资源型城市转型工作的实施意见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市发改局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2010</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49</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333333"/>
                <w:sz w:val="24"/>
                <w:szCs w:val="24"/>
                <w:shd w:val="clear" w:color="auto" w:fill="FFFFFF"/>
              </w:rPr>
            </w:pPr>
            <w:r>
              <w:rPr>
                <w:rFonts w:hint="eastAsia" w:ascii="仿宋_GB2312" w:hAnsi="仿宋_GB2312" w:eastAsia="仿宋_GB2312" w:cs="仿宋_GB2312"/>
                <w:sz w:val="24"/>
                <w:szCs w:val="24"/>
              </w:rPr>
              <w:t>关于加快推进散装水泥发展的实施意见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2010</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62</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关于完善城镇职工医疗保险制度有关问题的通知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2010</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84</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z w:val="24"/>
                <w:szCs w:val="24"/>
              </w:rPr>
              <w:t>关于进一步加强企业安全生产工作的通知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市安监局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2010</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85</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关于进一步加快我市存量公有住房出售解决房改遗留问题的通知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2010</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98</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spacing w:val="-5"/>
                <w:sz w:val="24"/>
                <w:szCs w:val="24"/>
              </w:rPr>
              <w:t>关于对全市农村一女双女独生子女伤亡病残家庭参加“新农合”给予补贴的通知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sz w:val="24"/>
                <w:szCs w:val="24"/>
              </w:rPr>
            </w:pPr>
            <w:r>
              <w:rPr>
                <w:rFonts w:hint="eastAsia" w:ascii="仿宋_GB2312" w:hAnsi="仿宋_GB2312" w:eastAsia="仿宋_GB2312" w:cs="仿宋_GB2312"/>
                <w:sz w:val="24"/>
                <w:szCs w:val="24"/>
              </w:rPr>
              <w:t>滕政发〔</w:t>
            </w:r>
            <w:r>
              <w:rPr>
                <w:rFonts w:ascii="仿宋_GB2312" w:hAnsi="仿宋_GB2312" w:eastAsia="仿宋_GB2312" w:cs="仿宋_GB2312"/>
                <w:sz w:val="24"/>
                <w:szCs w:val="24"/>
              </w:rPr>
              <w:t>2011</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19</w:t>
            </w:r>
            <w:r>
              <w:rPr>
                <w:rFonts w:hint="eastAsia" w:ascii="仿宋_GB2312" w:hAnsi="仿宋_GB2312" w:eastAsia="仿宋_GB2312" w:cs="仿宋_GB2312"/>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关于加强林业有害生物防控工作的意见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市林业局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sz w:val="24"/>
                <w:szCs w:val="24"/>
              </w:rPr>
            </w:pPr>
            <w:r>
              <w:rPr>
                <w:rFonts w:hint="eastAsia" w:ascii="仿宋_GB2312" w:hAnsi="仿宋_GB2312" w:eastAsia="仿宋_GB2312" w:cs="仿宋_GB2312"/>
                <w:sz w:val="24"/>
                <w:szCs w:val="24"/>
              </w:rPr>
              <w:t>滕政发〔</w:t>
            </w:r>
            <w:r>
              <w:rPr>
                <w:rFonts w:ascii="仿宋_GB2312" w:hAnsi="仿宋_GB2312" w:eastAsia="仿宋_GB2312" w:cs="仿宋_GB2312"/>
                <w:sz w:val="24"/>
                <w:szCs w:val="24"/>
              </w:rPr>
              <w:t>2011</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27</w:t>
            </w:r>
            <w:r>
              <w:rPr>
                <w:rFonts w:hint="eastAsia" w:ascii="仿宋_GB2312" w:hAnsi="仿宋_GB2312" w:eastAsia="仿宋_GB2312" w:cs="仿宋_GB2312"/>
                <w:sz w:val="24"/>
                <w:szCs w:val="24"/>
              </w:rPr>
              <w:t>号</w:t>
            </w:r>
          </w:p>
        </w:tc>
        <w:tc>
          <w:tcPr>
            <w:tcW w:w="7273" w:type="dxa"/>
          </w:tcPr>
          <w:p>
            <w:pPr>
              <w:spacing w:line="380" w:lineRule="exact"/>
              <w:jc w:val="left"/>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关于印发《滕州市封山育林管理办法》的通知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市林业局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滕政发〔</w:t>
            </w:r>
            <w:r>
              <w:rPr>
                <w:rFonts w:ascii="仿宋_GB2312" w:hAnsi="仿宋_GB2312" w:eastAsia="仿宋_GB2312" w:cs="仿宋_GB2312"/>
                <w:sz w:val="24"/>
                <w:szCs w:val="24"/>
              </w:rPr>
              <w:t>2011</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51</w:t>
            </w:r>
            <w:r>
              <w:rPr>
                <w:rFonts w:hint="eastAsia" w:ascii="仿宋_GB2312" w:hAnsi="仿宋_GB2312" w:eastAsia="仿宋_GB2312" w:cs="仿宋_GB2312"/>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关于加快发展公共租赁住房的实施意见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sz w:val="24"/>
                <w:szCs w:val="24"/>
              </w:rPr>
            </w:pPr>
            <w:r>
              <w:rPr>
                <w:rFonts w:hint="eastAsia" w:ascii="仿宋_GB2312" w:hAnsi="仿宋_GB2312" w:eastAsia="仿宋_GB2312" w:cs="仿宋_GB2312"/>
                <w:sz w:val="24"/>
                <w:szCs w:val="24"/>
              </w:rPr>
              <w:t>滕政发〔</w:t>
            </w:r>
            <w:r>
              <w:rPr>
                <w:rFonts w:ascii="仿宋_GB2312" w:hAnsi="仿宋_GB2312" w:eastAsia="仿宋_GB2312" w:cs="仿宋_GB2312"/>
                <w:sz w:val="24"/>
                <w:szCs w:val="24"/>
              </w:rPr>
              <w:t>2011</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52</w:t>
            </w:r>
            <w:r>
              <w:rPr>
                <w:rFonts w:hint="eastAsia" w:ascii="仿宋_GB2312" w:hAnsi="仿宋_GB2312" w:eastAsia="仿宋_GB2312" w:cs="仿宋_GB2312"/>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关于在新建商品住房开发项目中配建公共租赁住房的实施意见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滕政发〔</w:t>
            </w:r>
            <w:r>
              <w:rPr>
                <w:rFonts w:ascii="仿宋_GB2312" w:hAnsi="仿宋_GB2312" w:eastAsia="仿宋_GB2312" w:cs="仿宋_GB2312"/>
                <w:sz w:val="24"/>
                <w:szCs w:val="24"/>
              </w:rPr>
              <w:t>2011</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107</w:t>
            </w:r>
            <w:r>
              <w:rPr>
                <w:rFonts w:hint="eastAsia" w:ascii="仿宋_GB2312" w:hAnsi="仿宋_GB2312" w:eastAsia="仿宋_GB2312" w:cs="仿宋_GB2312"/>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关于加快城市拆迁项目安置区建设的意见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sz w:val="24"/>
                <w:szCs w:val="24"/>
              </w:rPr>
            </w:pPr>
            <w:r>
              <w:rPr>
                <w:rFonts w:hint="eastAsia" w:ascii="仿宋_GB2312" w:hAnsi="仿宋_GB2312" w:eastAsia="仿宋_GB2312" w:cs="仿宋_GB2312"/>
                <w:sz w:val="24"/>
                <w:szCs w:val="24"/>
              </w:rPr>
              <w:t>滕政发〔</w:t>
            </w:r>
            <w:r>
              <w:rPr>
                <w:rFonts w:ascii="仿宋_GB2312" w:hAnsi="仿宋_GB2312" w:eastAsia="仿宋_GB2312" w:cs="仿宋_GB2312"/>
                <w:sz w:val="24"/>
                <w:szCs w:val="24"/>
              </w:rPr>
              <w:t>2011</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129</w:t>
            </w:r>
            <w:r>
              <w:rPr>
                <w:rFonts w:hint="eastAsia" w:ascii="仿宋_GB2312" w:hAnsi="仿宋_GB2312" w:eastAsia="仿宋_GB2312" w:cs="仿宋_GB2312"/>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sz w:val="24"/>
                <w:szCs w:val="24"/>
              </w:rPr>
              <w:t>关于印发《滕州市房屋征收储备土地地上建筑物、附着物残值收入征收管理暂行办法》的通知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市财政局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2012</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19</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关于印发《滕州市房地产开发项目规划建设条件意见书制度》的通知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2012</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45</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关于进一步加强财政收支预算管理的意见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市财政局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2012</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101</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关于进一步加强森林防火能力建设的实施意见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市林业局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2012</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115</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spacing w:val="-11"/>
                <w:sz w:val="24"/>
                <w:szCs w:val="24"/>
              </w:rPr>
              <w:t>关于贯彻落实枣政发</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2012</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pacing w:val="-11"/>
                <w:sz w:val="24"/>
                <w:szCs w:val="24"/>
              </w:rPr>
              <w:t>46</w:t>
            </w:r>
            <w:r>
              <w:rPr>
                <w:rFonts w:hint="eastAsia" w:ascii="仿宋_GB2312" w:hAnsi="仿宋_GB2312" w:eastAsia="仿宋_GB2312" w:cs="仿宋_GB2312"/>
                <w:color w:val="000000"/>
                <w:spacing w:val="-11"/>
                <w:sz w:val="24"/>
                <w:szCs w:val="24"/>
              </w:rPr>
              <w:t>号文件进一步加强和改进消防工作的意见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市公安局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widowControl/>
              <w:jc w:val="center"/>
              <w:textAlignment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kern w:val="0"/>
                <w:sz w:val="24"/>
                <w:szCs w:val="24"/>
              </w:rPr>
              <w:t>滕政发〔</w:t>
            </w:r>
            <w:r>
              <w:rPr>
                <w:rFonts w:ascii="仿宋_GB2312" w:hAnsi="仿宋_GB2312" w:eastAsia="仿宋_GB2312" w:cs="仿宋_GB2312"/>
                <w:color w:val="000000"/>
                <w:kern w:val="0"/>
                <w:sz w:val="24"/>
                <w:szCs w:val="24"/>
              </w:rPr>
              <w:t>2012</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121</w:t>
            </w:r>
            <w:r>
              <w:rPr>
                <w:rFonts w:hint="eastAsia" w:ascii="仿宋_GB2312" w:hAnsi="仿宋_GB2312" w:eastAsia="仿宋_GB2312" w:cs="仿宋_GB2312"/>
                <w:color w:val="000000"/>
                <w:kern w:val="0"/>
                <w:sz w:val="24"/>
                <w:szCs w:val="24"/>
              </w:rPr>
              <w:t>号</w:t>
            </w:r>
          </w:p>
        </w:tc>
        <w:tc>
          <w:tcPr>
            <w:tcW w:w="7273" w:type="dxa"/>
            <w:vAlign w:val="center"/>
          </w:tcPr>
          <w:p>
            <w:pPr>
              <w:widowControl/>
              <w:jc w:val="left"/>
              <w:textAlignment w:val="center"/>
              <w:rPr>
                <w:rFonts w:ascii="仿宋_GB2312" w:hAnsi="仿宋_GB2312" w:eastAsia="仿宋_GB2312" w:cs="Times New Roman"/>
                <w:color w:val="000000"/>
                <w:spacing w:val="-11"/>
                <w:sz w:val="24"/>
                <w:szCs w:val="24"/>
              </w:rPr>
            </w:pPr>
            <w:r>
              <w:rPr>
                <w:rFonts w:hint="eastAsia" w:ascii="仿宋_GB2312" w:hAnsi="仿宋_GB2312" w:eastAsia="仿宋_GB2312" w:cs="仿宋_GB2312"/>
                <w:color w:val="000000"/>
                <w:kern w:val="0"/>
                <w:sz w:val="24"/>
                <w:szCs w:val="24"/>
              </w:rPr>
              <w:t>关于扶持现代农业产业发展的意见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2012</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129</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pacing w:val="-6"/>
                <w:sz w:val="24"/>
                <w:szCs w:val="24"/>
              </w:rPr>
              <w:t>关于印发《关于解决房地产建设项目历史遗留问题的有关意见的通知》的通知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滕政字〔</w:t>
            </w:r>
            <w:r>
              <w:rPr>
                <w:rFonts w:ascii="仿宋_GB2312" w:hAnsi="仿宋_GB2312" w:eastAsia="仿宋_GB2312" w:cs="仿宋_GB2312"/>
                <w:color w:val="000000"/>
                <w:sz w:val="24"/>
                <w:szCs w:val="24"/>
              </w:rPr>
              <w:t>2013</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12</w:t>
            </w:r>
            <w:r>
              <w:rPr>
                <w:rFonts w:hint="eastAsia" w:ascii="仿宋_GB2312" w:hAnsi="仿宋_GB2312" w:eastAsia="仿宋_GB2312" w:cs="仿宋_GB2312"/>
                <w:color w:val="000000"/>
                <w:sz w:val="24"/>
                <w:szCs w:val="24"/>
              </w:rPr>
              <w:t>号</w:t>
            </w:r>
          </w:p>
        </w:tc>
        <w:tc>
          <w:tcPr>
            <w:tcW w:w="7273" w:type="dxa"/>
            <w:vAlign w:val="center"/>
          </w:tcPr>
          <w:p>
            <w:pPr>
              <w:widowControl/>
              <w:jc w:val="left"/>
              <w:textAlignment w:val="center"/>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关于开展农业改革与建设试点的请示</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2013</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26</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关于规范企业房地产抵押贷款评估登记行为的意见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市金融办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滕政字〔</w:t>
            </w:r>
            <w:r>
              <w:rPr>
                <w:rFonts w:ascii="仿宋_GB2312" w:hAnsi="仿宋_GB2312" w:eastAsia="仿宋_GB2312" w:cs="仿宋_GB2312"/>
                <w:color w:val="000000"/>
                <w:sz w:val="24"/>
                <w:szCs w:val="24"/>
              </w:rPr>
              <w:t>2013</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30</w:t>
            </w:r>
            <w:r>
              <w:rPr>
                <w:rFonts w:hint="eastAsia" w:ascii="仿宋_GB2312" w:hAnsi="仿宋_GB2312" w:eastAsia="仿宋_GB2312" w:cs="仿宋_GB2312"/>
                <w:color w:val="000000"/>
                <w:sz w:val="24"/>
                <w:szCs w:val="24"/>
              </w:rPr>
              <w:t>号</w:t>
            </w:r>
          </w:p>
        </w:tc>
        <w:tc>
          <w:tcPr>
            <w:tcW w:w="7273" w:type="dxa"/>
            <w:vAlign w:val="center"/>
          </w:tcPr>
          <w:p>
            <w:pPr>
              <w:widowControl/>
              <w:jc w:val="left"/>
              <w:textAlignment w:val="center"/>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关于开展农业改革与建设试点的函</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2013</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72</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关于进一步规范房地产开发项目竣工综合验收备案工作的通知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2013</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73</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关于推进新型农村社区物业管理工作的实施意见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2013</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116</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关于印发《滕州市城镇燃气管理办法》的通知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4"/>
                <w:sz w:val="24"/>
                <w:szCs w:val="24"/>
              </w:rPr>
              <w:t>滕政字〔</w:t>
            </w:r>
            <w:r>
              <w:rPr>
                <w:rFonts w:ascii="仿宋_GB2312" w:hAnsi="仿宋_GB2312" w:eastAsia="仿宋_GB2312" w:cs="仿宋_GB2312"/>
                <w:color w:val="000000"/>
                <w:spacing w:val="-4"/>
                <w:sz w:val="24"/>
                <w:szCs w:val="24"/>
              </w:rPr>
              <w:t>2014</w:t>
            </w:r>
            <w:r>
              <w:rPr>
                <w:rFonts w:hint="eastAsia" w:ascii="仿宋_GB2312" w:hAnsi="仿宋_GB2312" w:eastAsia="仿宋_GB2312" w:cs="仿宋_GB2312"/>
                <w:color w:val="000000"/>
                <w:spacing w:val="-4"/>
                <w:sz w:val="24"/>
                <w:szCs w:val="24"/>
              </w:rPr>
              <w:t>〕</w:t>
            </w:r>
            <w:r>
              <w:rPr>
                <w:rFonts w:ascii="仿宋_GB2312" w:hAnsi="仿宋_GB2312" w:eastAsia="仿宋_GB2312" w:cs="仿宋_GB2312"/>
                <w:color w:val="000000"/>
                <w:spacing w:val="-4"/>
                <w:sz w:val="24"/>
                <w:szCs w:val="24"/>
              </w:rPr>
              <w:t>3</w:t>
            </w:r>
            <w:r>
              <w:rPr>
                <w:rFonts w:hint="eastAsia" w:ascii="仿宋_GB2312" w:hAnsi="仿宋_GB2312" w:eastAsia="仿宋_GB2312" w:cs="仿宋_GB2312"/>
                <w:color w:val="000000"/>
                <w:spacing w:val="-4"/>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关于呈报《</w:t>
            </w:r>
            <w:r>
              <w:rPr>
                <w:rFonts w:ascii="仿宋_GB2312" w:hAnsi="仿宋_GB2312" w:eastAsia="仿宋_GB2312" w:cs="仿宋_GB2312"/>
                <w:sz w:val="24"/>
                <w:szCs w:val="24"/>
              </w:rPr>
              <w:t>2014</w:t>
            </w:r>
            <w:r>
              <w:rPr>
                <w:rFonts w:hint="eastAsia" w:ascii="仿宋_GB2312" w:hAnsi="仿宋_GB2312" w:eastAsia="仿宋_GB2312" w:cs="仿宋_GB2312"/>
                <w:sz w:val="24"/>
                <w:szCs w:val="24"/>
              </w:rPr>
              <w:t>年中国国际薯业博览会暨第六届中国（滕州）马铃薯节方案》的报告</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pacing w:val="-4"/>
                <w:sz w:val="24"/>
                <w:szCs w:val="24"/>
              </w:rPr>
            </w:pPr>
          </w:p>
        </w:tc>
        <w:tc>
          <w:tcPr>
            <w:tcW w:w="2792"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滕政发〔</w:t>
            </w:r>
            <w:r>
              <w:rPr>
                <w:rFonts w:ascii="仿宋_GB2312" w:hAnsi="仿宋_GB2312" w:eastAsia="仿宋_GB2312" w:cs="仿宋_GB2312"/>
                <w:color w:val="000000"/>
                <w:spacing w:val="-4"/>
                <w:sz w:val="24"/>
                <w:szCs w:val="24"/>
              </w:rPr>
              <w:t>2014</w:t>
            </w:r>
            <w:r>
              <w:rPr>
                <w:rFonts w:hint="eastAsia" w:ascii="仿宋_GB2312" w:hAnsi="仿宋_GB2312" w:eastAsia="仿宋_GB2312" w:cs="仿宋_GB2312"/>
                <w:color w:val="000000"/>
                <w:spacing w:val="-4"/>
                <w:sz w:val="24"/>
                <w:szCs w:val="24"/>
              </w:rPr>
              <w:t>〕</w:t>
            </w:r>
            <w:r>
              <w:rPr>
                <w:rFonts w:ascii="仿宋_GB2312" w:hAnsi="仿宋_GB2312" w:eastAsia="仿宋_GB2312" w:cs="仿宋_GB2312"/>
                <w:color w:val="000000"/>
                <w:spacing w:val="-4"/>
                <w:sz w:val="24"/>
                <w:szCs w:val="24"/>
              </w:rPr>
              <w:t>13</w:t>
            </w:r>
            <w:r>
              <w:rPr>
                <w:rFonts w:hint="eastAsia" w:ascii="仿宋_GB2312" w:hAnsi="仿宋_GB2312" w:eastAsia="仿宋_GB2312" w:cs="仿宋_GB2312"/>
                <w:color w:val="000000"/>
                <w:spacing w:val="-4"/>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关于进一步优化金融生态环境的意见</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市金融办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pacing w:val="-4"/>
                <w:sz w:val="24"/>
                <w:szCs w:val="24"/>
              </w:rPr>
            </w:pPr>
          </w:p>
        </w:tc>
        <w:tc>
          <w:tcPr>
            <w:tcW w:w="2792"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滕政发〔</w:t>
            </w:r>
            <w:r>
              <w:rPr>
                <w:rFonts w:ascii="仿宋_GB2312" w:hAnsi="仿宋_GB2312" w:eastAsia="仿宋_GB2312" w:cs="仿宋_GB2312"/>
                <w:color w:val="000000"/>
                <w:spacing w:val="-4"/>
                <w:sz w:val="24"/>
                <w:szCs w:val="24"/>
              </w:rPr>
              <w:t>2014</w:t>
            </w:r>
            <w:r>
              <w:rPr>
                <w:rFonts w:hint="eastAsia" w:ascii="仿宋_GB2312" w:hAnsi="仿宋_GB2312" w:eastAsia="仿宋_GB2312" w:cs="仿宋_GB2312"/>
                <w:color w:val="000000"/>
                <w:spacing w:val="-4"/>
                <w:sz w:val="24"/>
                <w:szCs w:val="24"/>
              </w:rPr>
              <w:t>〕</w:t>
            </w:r>
            <w:r>
              <w:rPr>
                <w:rFonts w:ascii="仿宋_GB2312" w:hAnsi="仿宋_GB2312" w:eastAsia="仿宋_GB2312" w:cs="仿宋_GB2312"/>
                <w:color w:val="000000"/>
                <w:spacing w:val="-4"/>
                <w:sz w:val="24"/>
                <w:szCs w:val="24"/>
              </w:rPr>
              <w:t>50</w:t>
            </w:r>
            <w:r>
              <w:rPr>
                <w:rFonts w:hint="eastAsia" w:ascii="仿宋_GB2312" w:hAnsi="仿宋_GB2312" w:eastAsia="仿宋_GB2312" w:cs="仿宋_GB2312"/>
                <w:color w:val="000000"/>
                <w:spacing w:val="-4"/>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pacing w:val="-6"/>
                <w:sz w:val="24"/>
                <w:szCs w:val="24"/>
              </w:rPr>
              <w:t>关于对已取得土地的先行建设项目补办建设工程规划许可手续的意见</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pacing w:val="-4"/>
                <w:sz w:val="24"/>
                <w:szCs w:val="24"/>
              </w:rPr>
            </w:pPr>
          </w:p>
        </w:tc>
        <w:tc>
          <w:tcPr>
            <w:tcW w:w="2792" w:type="dxa"/>
            <w:vAlign w:val="center"/>
          </w:tcPr>
          <w:p>
            <w:pPr>
              <w:widowControl/>
              <w:jc w:val="center"/>
              <w:textAlignment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kern w:val="0"/>
                <w:sz w:val="24"/>
                <w:szCs w:val="24"/>
              </w:rPr>
              <w:t>滕政发〔</w:t>
            </w:r>
            <w:r>
              <w:rPr>
                <w:rFonts w:ascii="仿宋_GB2312" w:hAnsi="仿宋_GB2312" w:eastAsia="仿宋_GB2312" w:cs="仿宋_GB2312"/>
                <w:color w:val="000000"/>
                <w:kern w:val="0"/>
                <w:sz w:val="24"/>
                <w:szCs w:val="24"/>
              </w:rPr>
              <w:t>2014</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51</w:t>
            </w:r>
            <w:r>
              <w:rPr>
                <w:rFonts w:hint="eastAsia" w:ascii="仿宋_GB2312" w:hAnsi="仿宋_GB2312" w:eastAsia="仿宋_GB2312" w:cs="仿宋_GB2312"/>
                <w:color w:val="000000"/>
                <w:kern w:val="0"/>
                <w:sz w:val="24"/>
                <w:szCs w:val="24"/>
              </w:rPr>
              <w:t>号</w:t>
            </w:r>
          </w:p>
        </w:tc>
        <w:tc>
          <w:tcPr>
            <w:tcW w:w="7273" w:type="dxa"/>
            <w:vAlign w:val="center"/>
          </w:tcPr>
          <w:p>
            <w:pPr>
              <w:widowControl/>
              <w:jc w:val="left"/>
              <w:textAlignment w:val="center"/>
              <w:rPr>
                <w:rFonts w:ascii="仿宋_GB2312" w:hAnsi="仿宋_GB2312" w:eastAsia="仿宋_GB2312" w:cs="Times New Roman"/>
                <w:spacing w:val="-6"/>
                <w:sz w:val="24"/>
                <w:szCs w:val="24"/>
              </w:rPr>
            </w:pPr>
            <w:r>
              <w:rPr>
                <w:rFonts w:hint="eastAsia" w:ascii="仿宋_GB2312" w:hAnsi="仿宋_GB2312" w:eastAsia="仿宋_GB2312" w:cs="仿宋_GB2312"/>
                <w:color w:val="000000"/>
                <w:kern w:val="0"/>
                <w:sz w:val="24"/>
                <w:szCs w:val="24"/>
              </w:rPr>
              <w:t>关于调整现代农业生产发展资金果菜产业项目领导小组的通知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pacing w:val="-4"/>
                <w:sz w:val="24"/>
                <w:szCs w:val="24"/>
              </w:rPr>
            </w:pPr>
          </w:p>
        </w:tc>
        <w:tc>
          <w:tcPr>
            <w:tcW w:w="2792" w:type="dxa"/>
            <w:vAlign w:val="center"/>
          </w:tcPr>
          <w:p>
            <w:pPr>
              <w:widowControl/>
              <w:jc w:val="center"/>
              <w:textAlignment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kern w:val="0"/>
                <w:sz w:val="24"/>
                <w:szCs w:val="24"/>
              </w:rPr>
              <w:t>滕政字〔</w:t>
            </w:r>
            <w:r>
              <w:rPr>
                <w:rFonts w:ascii="仿宋_GB2312" w:hAnsi="仿宋_GB2312" w:eastAsia="仿宋_GB2312" w:cs="仿宋_GB2312"/>
                <w:color w:val="000000"/>
                <w:kern w:val="0"/>
                <w:sz w:val="24"/>
                <w:szCs w:val="24"/>
              </w:rPr>
              <w:t>2014</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55</w:t>
            </w:r>
            <w:r>
              <w:rPr>
                <w:rFonts w:hint="eastAsia" w:ascii="仿宋_GB2312" w:hAnsi="仿宋_GB2312" w:eastAsia="仿宋_GB2312" w:cs="仿宋_GB2312"/>
                <w:color w:val="000000"/>
                <w:kern w:val="0"/>
                <w:sz w:val="24"/>
                <w:szCs w:val="24"/>
              </w:rPr>
              <w:t>号</w:t>
            </w:r>
          </w:p>
        </w:tc>
        <w:tc>
          <w:tcPr>
            <w:tcW w:w="7273" w:type="dxa"/>
            <w:vAlign w:val="center"/>
          </w:tcPr>
          <w:p>
            <w:pPr>
              <w:widowControl/>
              <w:jc w:val="left"/>
              <w:textAlignment w:val="center"/>
              <w:rPr>
                <w:rFonts w:ascii="仿宋_GB2312" w:hAnsi="仿宋_GB2312" w:eastAsia="仿宋_GB2312" w:cs="Times New Roman"/>
                <w:spacing w:val="-6"/>
                <w:sz w:val="24"/>
                <w:szCs w:val="24"/>
              </w:rPr>
            </w:pPr>
            <w:r>
              <w:rPr>
                <w:rFonts w:hint="eastAsia" w:ascii="仿宋_GB2312" w:hAnsi="仿宋_GB2312" w:eastAsia="仿宋_GB2312" w:cs="仿宋_GB2312"/>
                <w:color w:val="000000"/>
                <w:kern w:val="0"/>
                <w:sz w:val="24"/>
                <w:szCs w:val="24"/>
              </w:rPr>
              <w:t>关于上报《滕州市涉农资金整合试点工作实施方案》的报告</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pacing w:val="-4"/>
                <w:sz w:val="24"/>
                <w:szCs w:val="24"/>
              </w:rPr>
            </w:pPr>
          </w:p>
        </w:tc>
        <w:tc>
          <w:tcPr>
            <w:tcW w:w="2792"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滕政发〔</w:t>
            </w:r>
            <w:r>
              <w:rPr>
                <w:rFonts w:ascii="仿宋_GB2312" w:hAnsi="仿宋_GB2312" w:eastAsia="仿宋_GB2312" w:cs="仿宋_GB2312"/>
                <w:color w:val="000000"/>
                <w:spacing w:val="-4"/>
                <w:sz w:val="24"/>
                <w:szCs w:val="24"/>
              </w:rPr>
              <w:t>2014</w:t>
            </w:r>
            <w:r>
              <w:rPr>
                <w:rFonts w:hint="eastAsia" w:ascii="仿宋_GB2312" w:hAnsi="仿宋_GB2312" w:eastAsia="仿宋_GB2312" w:cs="仿宋_GB2312"/>
                <w:color w:val="000000"/>
                <w:spacing w:val="-4"/>
                <w:sz w:val="24"/>
                <w:szCs w:val="24"/>
              </w:rPr>
              <w:t>〕</w:t>
            </w:r>
            <w:r>
              <w:rPr>
                <w:rFonts w:ascii="仿宋_GB2312" w:hAnsi="仿宋_GB2312" w:eastAsia="仿宋_GB2312" w:cs="仿宋_GB2312"/>
                <w:color w:val="000000"/>
                <w:spacing w:val="-4"/>
                <w:sz w:val="24"/>
                <w:szCs w:val="24"/>
              </w:rPr>
              <w:t>64</w:t>
            </w:r>
            <w:r>
              <w:rPr>
                <w:rFonts w:hint="eastAsia" w:ascii="仿宋_GB2312" w:hAnsi="仿宋_GB2312" w:eastAsia="仿宋_GB2312" w:cs="仿宋_GB2312"/>
                <w:color w:val="000000"/>
                <w:spacing w:val="-4"/>
                <w:sz w:val="24"/>
                <w:szCs w:val="24"/>
              </w:rPr>
              <w:t>号</w:t>
            </w:r>
          </w:p>
        </w:tc>
        <w:tc>
          <w:tcPr>
            <w:tcW w:w="7273" w:type="dxa"/>
          </w:tcPr>
          <w:p>
            <w:pPr>
              <w:spacing w:line="380" w:lineRule="exact"/>
              <w:jc w:val="left"/>
              <w:rPr>
                <w:rFonts w:ascii="仿宋_GB2312" w:hAnsi="仿宋_GB2312" w:eastAsia="仿宋_GB2312" w:cs="Times New Roman"/>
                <w:color w:val="000000"/>
                <w:spacing w:val="-4"/>
                <w:sz w:val="24"/>
                <w:szCs w:val="24"/>
              </w:rPr>
            </w:pPr>
            <w:r>
              <w:rPr>
                <w:rFonts w:hint="eastAsia" w:ascii="仿宋_GB2312" w:hAnsi="仿宋_GB2312" w:eastAsia="仿宋_GB2312" w:cs="仿宋_GB2312"/>
                <w:sz w:val="24"/>
                <w:szCs w:val="24"/>
              </w:rPr>
              <w:t>关于在全市推行行政权力清单制度的通知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pacing w:val="-4"/>
                <w:sz w:val="24"/>
                <w:szCs w:val="24"/>
              </w:rPr>
            </w:pPr>
          </w:p>
        </w:tc>
        <w:tc>
          <w:tcPr>
            <w:tcW w:w="2792"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滕政发〔</w:t>
            </w:r>
            <w:r>
              <w:rPr>
                <w:rFonts w:ascii="仿宋_GB2312" w:hAnsi="仿宋_GB2312" w:eastAsia="仿宋_GB2312" w:cs="仿宋_GB2312"/>
                <w:color w:val="000000"/>
                <w:spacing w:val="-4"/>
                <w:sz w:val="24"/>
                <w:szCs w:val="24"/>
              </w:rPr>
              <w:t>2014</w:t>
            </w:r>
            <w:r>
              <w:rPr>
                <w:rFonts w:hint="eastAsia" w:ascii="仿宋_GB2312" w:hAnsi="仿宋_GB2312" w:eastAsia="仿宋_GB2312" w:cs="仿宋_GB2312"/>
                <w:color w:val="000000"/>
                <w:spacing w:val="-4"/>
                <w:sz w:val="24"/>
                <w:szCs w:val="24"/>
              </w:rPr>
              <w:t>〕</w:t>
            </w:r>
            <w:r>
              <w:rPr>
                <w:rFonts w:ascii="仿宋_GB2312" w:hAnsi="仿宋_GB2312" w:eastAsia="仿宋_GB2312" w:cs="仿宋_GB2312"/>
                <w:color w:val="000000"/>
                <w:spacing w:val="-4"/>
                <w:sz w:val="24"/>
                <w:szCs w:val="24"/>
              </w:rPr>
              <w:t>66</w:t>
            </w:r>
            <w:r>
              <w:rPr>
                <w:rFonts w:hint="eastAsia" w:ascii="仿宋_GB2312" w:hAnsi="仿宋_GB2312" w:eastAsia="仿宋_GB2312" w:cs="仿宋_GB2312"/>
                <w:color w:val="000000"/>
                <w:spacing w:val="-4"/>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关于加强城区道路交通车辆管理的意见</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公安局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pacing w:val="-4"/>
                <w:sz w:val="24"/>
                <w:szCs w:val="24"/>
              </w:rPr>
            </w:pPr>
          </w:p>
        </w:tc>
        <w:tc>
          <w:tcPr>
            <w:tcW w:w="2792"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滕政发〔</w:t>
            </w:r>
            <w:r>
              <w:rPr>
                <w:rFonts w:ascii="仿宋_GB2312" w:hAnsi="仿宋_GB2312" w:eastAsia="仿宋_GB2312" w:cs="仿宋_GB2312"/>
                <w:color w:val="000000"/>
                <w:spacing w:val="-4"/>
                <w:sz w:val="24"/>
                <w:szCs w:val="24"/>
              </w:rPr>
              <w:t>2014</w:t>
            </w:r>
            <w:r>
              <w:rPr>
                <w:rFonts w:hint="eastAsia" w:ascii="仿宋_GB2312" w:hAnsi="仿宋_GB2312" w:eastAsia="仿宋_GB2312" w:cs="仿宋_GB2312"/>
                <w:color w:val="000000"/>
                <w:spacing w:val="-4"/>
                <w:sz w:val="24"/>
                <w:szCs w:val="24"/>
              </w:rPr>
              <w:t>〕</w:t>
            </w:r>
            <w:r>
              <w:rPr>
                <w:rFonts w:ascii="仿宋_GB2312" w:hAnsi="仿宋_GB2312" w:eastAsia="仿宋_GB2312" w:cs="仿宋_GB2312"/>
                <w:color w:val="000000"/>
                <w:spacing w:val="-4"/>
                <w:sz w:val="24"/>
                <w:szCs w:val="24"/>
              </w:rPr>
              <w:t>79</w:t>
            </w:r>
            <w:r>
              <w:rPr>
                <w:rFonts w:hint="eastAsia" w:ascii="仿宋_GB2312" w:hAnsi="仿宋_GB2312" w:eastAsia="仿宋_GB2312" w:cs="仿宋_GB2312"/>
                <w:color w:val="000000"/>
                <w:spacing w:val="-4"/>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关于加快电子商务发展的意见</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市旅服局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pacing w:val="-4"/>
                <w:sz w:val="24"/>
                <w:szCs w:val="24"/>
              </w:rPr>
            </w:pPr>
          </w:p>
        </w:tc>
        <w:tc>
          <w:tcPr>
            <w:tcW w:w="2792"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滕政发〔</w:t>
            </w:r>
            <w:r>
              <w:rPr>
                <w:rFonts w:ascii="仿宋_GB2312" w:hAnsi="仿宋_GB2312" w:eastAsia="仿宋_GB2312" w:cs="仿宋_GB2312"/>
                <w:color w:val="000000"/>
                <w:spacing w:val="-4"/>
                <w:sz w:val="24"/>
                <w:szCs w:val="24"/>
              </w:rPr>
              <w:t>2014</w:t>
            </w:r>
            <w:r>
              <w:rPr>
                <w:rFonts w:hint="eastAsia" w:ascii="仿宋_GB2312" w:hAnsi="仿宋_GB2312" w:eastAsia="仿宋_GB2312" w:cs="仿宋_GB2312"/>
                <w:color w:val="000000"/>
                <w:spacing w:val="-4"/>
                <w:sz w:val="24"/>
                <w:szCs w:val="24"/>
              </w:rPr>
              <w:t>〕</w:t>
            </w:r>
            <w:r>
              <w:rPr>
                <w:rFonts w:ascii="仿宋_GB2312" w:hAnsi="仿宋_GB2312" w:eastAsia="仿宋_GB2312" w:cs="仿宋_GB2312"/>
                <w:color w:val="000000"/>
                <w:spacing w:val="-4"/>
                <w:sz w:val="24"/>
                <w:szCs w:val="24"/>
              </w:rPr>
              <w:t>85</w:t>
            </w:r>
            <w:r>
              <w:rPr>
                <w:rFonts w:hint="eastAsia" w:ascii="仿宋_GB2312" w:hAnsi="仿宋_GB2312" w:eastAsia="仿宋_GB2312" w:cs="仿宋_GB2312"/>
                <w:color w:val="000000"/>
                <w:spacing w:val="-4"/>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关于印发《滕州市水利工程管理办法》的通知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市水利局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4"/>
                <w:sz w:val="24"/>
                <w:szCs w:val="24"/>
              </w:rPr>
              <w:t>滕政发〔</w:t>
            </w:r>
            <w:r>
              <w:rPr>
                <w:rFonts w:ascii="仿宋_GB2312" w:hAnsi="仿宋_GB2312" w:eastAsia="仿宋_GB2312" w:cs="仿宋_GB2312"/>
                <w:color w:val="000000"/>
                <w:spacing w:val="-4"/>
                <w:sz w:val="24"/>
                <w:szCs w:val="24"/>
              </w:rPr>
              <w:t>2014</w:t>
            </w:r>
            <w:r>
              <w:rPr>
                <w:rFonts w:hint="eastAsia" w:ascii="仿宋_GB2312" w:hAnsi="仿宋_GB2312" w:eastAsia="仿宋_GB2312" w:cs="仿宋_GB2312"/>
                <w:color w:val="000000"/>
                <w:spacing w:val="-4"/>
                <w:sz w:val="24"/>
                <w:szCs w:val="24"/>
              </w:rPr>
              <w:t>〕</w:t>
            </w:r>
            <w:r>
              <w:rPr>
                <w:rFonts w:ascii="仿宋_GB2312" w:hAnsi="仿宋_GB2312" w:eastAsia="仿宋_GB2312" w:cs="仿宋_GB2312"/>
                <w:color w:val="000000"/>
                <w:spacing w:val="-4"/>
                <w:sz w:val="24"/>
                <w:szCs w:val="24"/>
              </w:rPr>
              <w:t>88</w:t>
            </w:r>
            <w:r>
              <w:rPr>
                <w:rFonts w:hint="eastAsia" w:ascii="仿宋_GB2312" w:hAnsi="仿宋_GB2312" w:eastAsia="仿宋_GB2312" w:cs="仿宋_GB2312"/>
                <w:color w:val="000000"/>
                <w:spacing w:val="-4"/>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关于印发《滕州市级行政审批事项目录清单》的通知</w:t>
            </w:r>
          </w:p>
        </w:tc>
        <w:tc>
          <w:tcPr>
            <w:tcW w:w="2896" w:type="dxa"/>
            <w:vAlign w:val="center"/>
          </w:tcPr>
          <w:p>
            <w:pPr>
              <w:spacing w:line="380" w:lineRule="exact"/>
              <w:jc w:val="center"/>
              <w:rPr>
                <w:rFonts w:ascii="仿宋_GB2312" w:hAnsi="仿宋_GB2312" w:eastAsia="仿宋_GB2312" w:cs="Times New Roman"/>
                <w:color w:val="000000"/>
                <w:spacing w:val="-8"/>
                <w:sz w:val="24"/>
                <w:szCs w:val="24"/>
              </w:rPr>
            </w:pPr>
            <w:r>
              <w:rPr>
                <w:rFonts w:hint="eastAsia" w:ascii="仿宋_GB2312" w:hAnsi="仿宋_GB2312" w:eastAsia="仿宋_GB2312" w:cs="仿宋_GB2312"/>
                <w:color w:val="000000"/>
                <w:spacing w:val="-4"/>
                <w:sz w:val="24"/>
                <w:szCs w:val="24"/>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4"/>
                <w:sz w:val="24"/>
                <w:szCs w:val="24"/>
              </w:rPr>
              <w:t>滕政字〔</w:t>
            </w:r>
            <w:r>
              <w:rPr>
                <w:rFonts w:ascii="仿宋_GB2312" w:hAnsi="仿宋_GB2312" w:eastAsia="仿宋_GB2312" w:cs="仿宋_GB2312"/>
                <w:color w:val="000000"/>
                <w:spacing w:val="-4"/>
                <w:sz w:val="24"/>
                <w:szCs w:val="24"/>
              </w:rPr>
              <w:t>2014</w:t>
            </w:r>
            <w:r>
              <w:rPr>
                <w:rFonts w:hint="eastAsia" w:ascii="仿宋_GB2312" w:hAnsi="仿宋_GB2312" w:eastAsia="仿宋_GB2312" w:cs="仿宋_GB2312"/>
                <w:color w:val="000000"/>
                <w:spacing w:val="-4"/>
                <w:sz w:val="24"/>
                <w:szCs w:val="24"/>
              </w:rPr>
              <w:t>〕</w:t>
            </w:r>
            <w:r>
              <w:rPr>
                <w:rFonts w:ascii="仿宋_GB2312" w:hAnsi="仿宋_GB2312" w:eastAsia="仿宋_GB2312" w:cs="仿宋_GB2312"/>
                <w:color w:val="000000"/>
                <w:spacing w:val="-4"/>
                <w:sz w:val="24"/>
                <w:szCs w:val="24"/>
              </w:rPr>
              <w:t>145</w:t>
            </w:r>
            <w:r>
              <w:rPr>
                <w:rFonts w:hint="eastAsia" w:ascii="仿宋_GB2312" w:hAnsi="仿宋_GB2312" w:eastAsia="仿宋_GB2312" w:cs="仿宋_GB2312"/>
                <w:color w:val="000000"/>
                <w:spacing w:val="-4"/>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关于同意滕州市龙阳绿萝卜产业发展联合会申报农产品地理标志的批复</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2015</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6</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关于全面清理规范税收等政策的通知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市财政局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2015</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18</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pacing w:val="-8"/>
                <w:sz w:val="24"/>
                <w:szCs w:val="24"/>
              </w:rPr>
            </w:pPr>
            <w:r>
              <w:rPr>
                <w:rFonts w:hint="eastAsia" w:ascii="仿宋_GB2312" w:hAnsi="仿宋_GB2312" w:eastAsia="仿宋_GB2312" w:cs="仿宋_GB2312"/>
                <w:sz w:val="24"/>
                <w:szCs w:val="24"/>
              </w:rPr>
              <w:t>关于公布滕州市级行政权力清单的通知</w:t>
            </w:r>
          </w:p>
        </w:tc>
        <w:tc>
          <w:tcPr>
            <w:tcW w:w="2896" w:type="dxa"/>
            <w:vAlign w:val="center"/>
          </w:tcPr>
          <w:p>
            <w:pPr>
              <w:spacing w:line="380" w:lineRule="exact"/>
              <w:jc w:val="center"/>
              <w:rPr>
                <w:rFonts w:ascii="仿宋_GB2312" w:hAnsi="仿宋_GB2312" w:eastAsia="仿宋_GB2312" w:cs="Times New Roman"/>
                <w:color w:val="000000"/>
                <w:spacing w:val="-8"/>
                <w:sz w:val="24"/>
                <w:szCs w:val="24"/>
              </w:rPr>
            </w:pPr>
            <w:r>
              <w:rPr>
                <w:rFonts w:hint="eastAsia" w:ascii="仿宋_GB2312" w:hAnsi="仿宋_GB2312" w:eastAsia="仿宋_GB2312" w:cs="仿宋_GB2312"/>
                <w:color w:val="000000"/>
                <w:spacing w:val="-4"/>
                <w:sz w:val="24"/>
                <w:szCs w:val="24"/>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2015</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22</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关于建立居民基本养老保险制度的实施意见</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2015</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48</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关于公布市级政府部门责任清单有关事宜的通知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4"/>
                <w:sz w:val="24"/>
                <w:szCs w:val="24"/>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2015</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46</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sz w:val="24"/>
                <w:szCs w:val="24"/>
              </w:rPr>
              <w:t>关于做好农民专业合作社信用互助业务试点工作的实施意见</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市金融办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2015</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50</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关于公布市直印发（单位）行政审批中介服务收费项目清单的通知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4"/>
                <w:sz w:val="24"/>
                <w:szCs w:val="24"/>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2015</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53</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关于滕州马铃薯省级农业科技园区建设的意见</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市科技局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2015</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74</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关于加强和改进部门统计工作的意见</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市统计局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2015</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81</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sz w:val="24"/>
                <w:szCs w:val="24"/>
              </w:rPr>
              <w:t>滕州市建设项目交通影响评价管理办法的通知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2015</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83</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关于调整行政审批事项目录清单和行政权力清单的通知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4"/>
                <w:sz w:val="24"/>
                <w:szCs w:val="24"/>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9</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滕州市农村无害化卫生厕所改造工作方案</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25</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滕州市科技创新专项资金管理暂行办法</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30</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关于加快电子商务发展的意见</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市商务局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39</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b/>
                <w:bCs/>
                <w:sz w:val="24"/>
                <w:szCs w:val="24"/>
              </w:rPr>
            </w:pPr>
            <w:r>
              <w:rPr>
                <w:rFonts w:hint="eastAsia" w:ascii="仿宋_GB2312" w:hAnsi="仿宋_GB2312" w:eastAsia="仿宋_GB2312" w:cs="仿宋_GB2312"/>
                <w:color w:val="000000"/>
                <w:sz w:val="24"/>
                <w:szCs w:val="24"/>
              </w:rPr>
              <w:t>关于印发《滕州市农村生活污水治理工作实施意见》的通知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41</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关于印发《滕州市国有土地上房屋征收与补偿实施意见》的通知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z w:val="24"/>
                <w:szCs w:val="24"/>
              </w:rPr>
              <w:t>市征收办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42</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关于印发《滕州市国有土地上房屋征收范围内未经登记的建筑调查认定处理实施细则》的通知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z w:val="24"/>
                <w:szCs w:val="24"/>
              </w:rPr>
              <w:t>市征收办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43</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关于印发《滕州市国有土地上房屋征收与补偿工作规程》的通知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市征收办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44</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6"/>
                <w:sz w:val="24"/>
                <w:szCs w:val="24"/>
              </w:rPr>
              <w:t>关于印发《滕州市“城中村”集体土地上房屋搬迁补偿办法》的通知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市征收办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45</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关于印发《滕州市棚户区改造货币化安置实施意见》的通知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市征收办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51</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关于加快发展体育产业促进体育消费的实施意见</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市体育局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60</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关于印发《滕州市金融生态环境整治暨滕州农村商业银行不良贷款联合清收活动实施方案》的通知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市金融办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66</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sz w:val="24"/>
                <w:szCs w:val="24"/>
              </w:rPr>
              <w:t>关于印发《滕州市社区性农村信用互助合作社试点实施方案》的通知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市金融办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78</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关于印发《滕州市互联网金融风险专项整治工作实施方案》的通知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市金融办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89</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w:t>
            </w:r>
            <w:r>
              <w:rPr>
                <w:rFonts w:ascii="仿宋_GB2312" w:hAnsi="仿宋_GB2312" w:eastAsia="仿宋_GB2312" w:cs="仿宋_GB2312"/>
                <w:sz w:val="24"/>
                <w:szCs w:val="24"/>
              </w:rPr>
              <w:t>2016</w:t>
            </w:r>
            <w:r>
              <w:rPr>
                <w:rFonts w:hint="eastAsia" w:ascii="仿宋_GB2312" w:hAnsi="仿宋_GB2312" w:eastAsia="仿宋_GB2312" w:cs="仿宋_GB2312"/>
                <w:sz w:val="24"/>
                <w:szCs w:val="24"/>
              </w:rPr>
              <w:t>年第一批调整行政权力清单的通知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4"/>
                <w:sz w:val="24"/>
                <w:szCs w:val="24"/>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93</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关于印发《滕州市林地保护利用规划（</w:t>
            </w:r>
            <w:r>
              <w:rPr>
                <w:rFonts w:ascii="仿宋_GB2312" w:hAnsi="仿宋_GB2312" w:eastAsia="仿宋_GB2312" w:cs="仿宋_GB2312"/>
                <w:color w:val="000000"/>
                <w:kern w:val="0"/>
                <w:sz w:val="24"/>
                <w:szCs w:val="24"/>
              </w:rPr>
              <w:t>2010-2020</w:t>
            </w:r>
            <w:r>
              <w:rPr>
                <w:rFonts w:hint="eastAsia" w:ascii="仿宋_GB2312" w:hAnsi="仿宋_GB2312" w:eastAsia="仿宋_GB2312" w:cs="仿宋_GB2312"/>
                <w:color w:val="000000"/>
                <w:kern w:val="0"/>
                <w:sz w:val="24"/>
                <w:szCs w:val="24"/>
              </w:rPr>
              <w:t>年）修编规划》的通知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市林业局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96</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关于加快推进装修住宅建设的意见</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108</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sz w:val="24"/>
                <w:szCs w:val="24"/>
              </w:rPr>
              <w:t>关于进一步做好未经登记建筑调查认定处理工作的补充意见</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z w:val="24"/>
                <w:szCs w:val="24"/>
              </w:rPr>
              <w:t>市征收办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滕政发〔</w:t>
            </w:r>
            <w:r>
              <w:rPr>
                <w:rFonts w:ascii="仿宋_GB2312" w:hAnsi="仿宋_GB2312" w:eastAsia="仿宋_GB2312" w:cs="仿宋_GB2312"/>
                <w:sz w:val="24"/>
                <w:szCs w:val="24"/>
              </w:rPr>
              <w:t>2016</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117</w:t>
            </w:r>
            <w:r>
              <w:rPr>
                <w:rFonts w:hint="eastAsia" w:ascii="仿宋_GB2312" w:hAnsi="仿宋_GB2312" w:eastAsia="仿宋_GB2312" w:cs="仿宋_GB2312"/>
                <w:sz w:val="24"/>
                <w:szCs w:val="24"/>
              </w:rPr>
              <w:t>号</w:t>
            </w:r>
          </w:p>
        </w:tc>
        <w:tc>
          <w:tcPr>
            <w:tcW w:w="7273" w:type="dxa"/>
            <w:vAlign w:val="center"/>
          </w:tcPr>
          <w:p>
            <w:pPr>
              <w:spacing w:line="380" w:lineRule="exac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关于印发《滕州市安全生产举报受理及奖励办法》的通知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spacing w:val="-4"/>
                <w:sz w:val="24"/>
                <w:szCs w:val="24"/>
              </w:rPr>
              <w:t>市安监局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120</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w:t>
            </w:r>
            <w:r>
              <w:rPr>
                <w:rFonts w:ascii="仿宋_GB2312" w:hAnsi="仿宋_GB2312" w:eastAsia="仿宋_GB2312" w:cs="仿宋_GB2312"/>
                <w:sz w:val="24"/>
                <w:szCs w:val="24"/>
              </w:rPr>
              <w:t>2016</w:t>
            </w:r>
            <w:r>
              <w:rPr>
                <w:rFonts w:hint="eastAsia" w:ascii="仿宋_GB2312" w:hAnsi="仿宋_GB2312" w:eastAsia="仿宋_GB2312" w:cs="仿宋_GB2312"/>
                <w:sz w:val="24"/>
                <w:szCs w:val="24"/>
              </w:rPr>
              <w:t>年第二批调整行政权力清单的通知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4"/>
                <w:sz w:val="24"/>
                <w:szCs w:val="24"/>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121</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关于印发《滕州市全民健身实施计划（</w:t>
            </w:r>
            <w:r>
              <w:rPr>
                <w:rFonts w:ascii="仿宋_GB2312" w:hAnsi="仿宋_GB2312" w:eastAsia="仿宋_GB2312" w:cs="仿宋_GB2312"/>
                <w:sz w:val="24"/>
                <w:szCs w:val="24"/>
              </w:rPr>
              <w:t>2016-2020</w:t>
            </w:r>
            <w:r>
              <w:rPr>
                <w:rFonts w:hint="eastAsia" w:ascii="仿宋_GB2312" w:hAnsi="仿宋_GB2312" w:eastAsia="仿宋_GB2312" w:cs="仿宋_GB2312"/>
                <w:sz w:val="24"/>
                <w:szCs w:val="24"/>
              </w:rPr>
              <w:t>年）》的通知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市体育局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widowControl/>
              <w:jc w:val="center"/>
              <w:textAlignment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kern w:val="0"/>
                <w:sz w:val="24"/>
                <w:szCs w:val="24"/>
              </w:rPr>
              <w:t>滕政字〔</w:t>
            </w:r>
            <w:r>
              <w:rPr>
                <w:rFonts w:ascii="仿宋_GB2312" w:hAnsi="仿宋_GB2312" w:eastAsia="仿宋_GB2312" w:cs="仿宋_GB2312"/>
                <w:color w:val="000000"/>
                <w:kern w:val="0"/>
                <w:sz w:val="24"/>
                <w:szCs w:val="24"/>
              </w:rPr>
              <w:t>2016</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128</w:t>
            </w:r>
            <w:r>
              <w:rPr>
                <w:rFonts w:hint="eastAsia" w:ascii="仿宋_GB2312" w:hAnsi="仿宋_GB2312" w:eastAsia="仿宋_GB2312" w:cs="仿宋_GB2312"/>
                <w:color w:val="000000"/>
                <w:kern w:val="0"/>
                <w:sz w:val="24"/>
                <w:szCs w:val="24"/>
              </w:rPr>
              <w:t>号</w:t>
            </w:r>
          </w:p>
        </w:tc>
        <w:tc>
          <w:tcPr>
            <w:tcW w:w="7273" w:type="dxa"/>
            <w:vAlign w:val="center"/>
          </w:tcPr>
          <w:p>
            <w:pPr>
              <w:widowControl/>
              <w:jc w:val="left"/>
              <w:textAlignment w:val="center"/>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关于上报《滕州市国家农业可持续发展试验示范区申报创建方案》的报告</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滕政字〔</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135</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关于确定国有土地上委托房屋征收实施单位及委托预评估等费用标准的批复</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市征收办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滕政字〔</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144</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关于增设国有土地上房屋征收“片区奖”的批复（试行）</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市征收办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2</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sz w:val="24"/>
                <w:szCs w:val="24"/>
              </w:rPr>
              <w:t>进一步加强房地产开发管理工作的意见</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3</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滕州市安全生产网格化监管工作实施方案</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市安监局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12</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关于印发《滕州市全面排查整治“地条钢”等违法违规行为专项行动工作方案》的通知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滕政字〔</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20</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关于同意《木石镇集体土地上房屋搬迁补偿安置方案》的批复</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木石镇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22</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关于进一步做好“城中村”集体土地上房屋搬迁补偿工作的补充意见</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市征收办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widowControl/>
              <w:jc w:val="center"/>
              <w:textAlignment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kern w:val="0"/>
                <w:sz w:val="24"/>
                <w:szCs w:val="24"/>
              </w:rPr>
              <w:t>滕政字〔</w:t>
            </w:r>
            <w:r>
              <w:rPr>
                <w:rFonts w:ascii="仿宋_GB2312" w:hAnsi="仿宋_GB2312" w:eastAsia="仿宋_GB2312" w:cs="仿宋_GB2312"/>
                <w:color w:val="000000"/>
                <w:kern w:val="0"/>
                <w:sz w:val="24"/>
                <w:szCs w:val="24"/>
              </w:rPr>
              <w:t>2017</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35</w:t>
            </w:r>
            <w:r>
              <w:rPr>
                <w:rFonts w:hint="eastAsia" w:ascii="仿宋_GB2312" w:hAnsi="仿宋_GB2312" w:eastAsia="仿宋_GB2312" w:cs="仿宋_GB2312"/>
                <w:color w:val="000000"/>
                <w:kern w:val="0"/>
                <w:sz w:val="24"/>
                <w:szCs w:val="24"/>
              </w:rPr>
              <w:t>号</w:t>
            </w:r>
          </w:p>
        </w:tc>
        <w:tc>
          <w:tcPr>
            <w:tcW w:w="7273" w:type="dxa"/>
            <w:vAlign w:val="center"/>
          </w:tcPr>
          <w:p>
            <w:pPr>
              <w:widowControl/>
              <w:jc w:val="left"/>
              <w:textAlignment w:val="center"/>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关于上报《滕州马铃薯国家现代农业产业园创建申报书》的报告</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50</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关于公布</w:t>
            </w:r>
            <w:r>
              <w:rPr>
                <w:rFonts w:ascii="仿宋_GB2312" w:hAnsi="仿宋_GB2312" w:eastAsia="仿宋_GB2312" w:cs="仿宋_GB2312"/>
                <w:sz w:val="24"/>
                <w:szCs w:val="24"/>
              </w:rPr>
              <w:t>2017</w:t>
            </w:r>
            <w:r>
              <w:rPr>
                <w:rFonts w:hint="eastAsia" w:ascii="仿宋_GB2312" w:hAnsi="仿宋_GB2312" w:eastAsia="仿宋_GB2312" w:cs="仿宋_GB2312"/>
                <w:sz w:val="24"/>
                <w:szCs w:val="24"/>
              </w:rPr>
              <w:t>年第一批市直部门行政权力事项调整目录的通知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4"/>
                <w:sz w:val="24"/>
                <w:szCs w:val="24"/>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52</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滕州市物业管理实施细则</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62</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《滕州市特色小镇建设工作方案》、《滕州市美丽宜居村庄建设工作方案》</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63</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关于公布滕州市市级公共服务事项目录和镇（街道）公共服务事项目录的通知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4"/>
                <w:sz w:val="24"/>
                <w:szCs w:val="24"/>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70</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关于印发《滕州市“十三五”节能工作方案》的通知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71</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关于金融精准支持实体经济发展的意见</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市金融办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widowControl/>
              <w:jc w:val="center"/>
              <w:textAlignment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kern w:val="0"/>
                <w:sz w:val="24"/>
                <w:szCs w:val="24"/>
              </w:rPr>
              <w:t>滕政字〔</w:t>
            </w:r>
            <w:r>
              <w:rPr>
                <w:rFonts w:ascii="仿宋_GB2312" w:hAnsi="仿宋_GB2312" w:eastAsia="仿宋_GB2312" w:cs="仿宋_GB2312"/>
                <w:color w:val="000000"/>
                <w:kern w:val="0"/>
                <w:sz w:val="24"/>
                <w:szCs w:val="24"/>
              </w:rPr>
              <w:t>2017</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75</w:t>
            </w:r>
            <w:r>
              <w:rPr>
                <w:rFonts w:hint="eastAsia" w:ascii="仿宋_GB2312" w:hAnsi="仿宋_GB2312" w:eastAsia="仿宋_GB2312" w:cs="仿宋_GB2312"/>
                <w:color w:val="000000"/>
                <w:kern w:val="0"/>
                <w:sz w:val="24"/>
                <w:szCs w:val="24"/>
              </w:rPr>
              <w:t>号</w:t>
            </w:r>
          </w:p>
        </w:tc>
        <w:tc>
          <w:tcPr>
            <w:tcW w:w="7273" w:type="dxa"/>
            <w:vAlign w:val="center"/>
          </w:tcPr>
          <w:p>
            <w:pPr>
              <w:widowControl/>
              <w:jc w:val="left"/>
              <w:textAlignment w:val="center"/>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关于滕州市国家现代农业示范区建设水平评价有关情况的报告</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77</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滕州市省级中等城市试点工作方案</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87</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关于公布</w:t>
            </w:r>
            <w:r>
              <w:rPr>
                <w:rFonts w:ascii="仿宋_GB2312" w:hAnsi="仿宋_GB2312" w:eastAsia="仿宋_GB2312" w:cs="仿宋_GB2312"/>
                <w:sz w:val="24"/>
                <w:szCs w:val="24"/>
              </w:rPr>
              <w:t>2017</w:t>
            </w:r>
            <w:r>
              <w:rPr>
                <w:rFonts w:hint="eastAsia" w:ascii="仿宋_GB2312" w:hAnsi="仿宋_GB2312" w:eastAsia="仿宋_GB2312" w:cs="仿宋_GB2312"/>
                <w:sz w:val="24"/>
                <w:szCs w:val="24"/>
              </w:rPr>
              <w:t>年第二批市直部门行政权力事项调整目录的通知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4"/>
                <w:sz w:val="24"/>
                <w:szCs w:val="24"/>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88</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关于建立健全农村无害化卫生厕所后续管护长效机制的意见</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99</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关于印发《滕州市已购经济适用住房取得完全产权和上市交易管理规定》的通知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100</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关于印发《滕州市公共租赁住房保障实施细则》的通知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112</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关于印发《滕州市国有林场改革实施方案》的通知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市林业局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滕政通字〔</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3</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关于严禁非法采砂洗砂取土的通告</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龙阳镇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11</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关于印发《城郭河群乐桥断面水质达标方案》的通知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12</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关于印发《滕州市国控河流断面水质达标方案》的通知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40</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spacing w:val="-1"/>
                <w:sz w:val="24"/>
                <w:szCs w:val="24"/>
              </w:rPr>
              <w:t>关于支持农民工等人员返乡创业的实施意见</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市发改局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49</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关于印发《滕州市绿色低碳发展工作方案》的通知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51</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关于公布</w:t>
            </w:r>
            <w:r>
              <w:rPr>
                <w:rFonts w:ascii="仿宋_GB2312" w:hAnsi="仿宋_GB2312" w:eastAsia="仿宋_GB2312" w:cs="仿宋_GB2312"/>
                <w:sz w:val="24"/>
                <w:szCs w:val="24"/>
              </w:rPr>
              <w:t>2018</w:t>
            </w:r>
            <w:r>
              <w:rPr>
                <w:rFonts w:hint="eastAsia" w:ascii="仿宋_GB2312" w:hAnsi="仿宋_GB2312" w:eastAsia="仿宋_GB2312" w:cs="仿宋_GB2312"/>
                <w:sz w:val="24"/>
                <w:szCs w:val="24"/>
              </w:rPr>
              <w:t>年第一批市直部门行政权力事项调整目录的通知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4"/>
                <w:sz w:val="24"/>
                <w:szCs w:val="24"/>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2003</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99</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sz w:val="24"/>
                <w:szCs w:val="24"/>
              </w:rPr>
              <w:t>关于印发《滕州市人口与计划生育公益金管理办法》的通知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z w:val="24"/>
                <w:szCs w:val="24"/>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2003</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119</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1"/>
                <w:sz w:val="24"/>
                <w:szCs w:val="24"/>
              </w:rPr>
              <w:t>关于完善破产企业职工社会保险手续的意见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市发改局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2008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40</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关于印发《滕州市公共场所禁止吸烟规定》的通知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2008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112</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关于印发《滕州市关于加强城镇社区和农村安全网络建设工作的意见》的通知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市安监局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2010</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64</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sz w:val="24"/>
                <w:szCs w:val="24"/>
              </w:rPr>
              <w:t>关于推进住宅产业化提高住宅品质的实施意见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4"/>
                <w:sz w:val="24"/>
                <w:szCs w:val="24"/>
              </w:rPr>
              <w:t>滕政办发〔</w:t>
            </w:r>
            <w:r>
              <w:rPr>
                <w:rFonts w:ascii="仿宋_GB2312" w:hAnsi="仿宋_GB2312" w:eastAsia="仿宋_GB2312" w:cs="仿宋_GB2312"/>
                <w:color w:val="000000"/>
                <w:spacing w:val="-4"/>
                <w:sz w:val="24"/>
                <w:szCs w:val="24"/>
              </w:rPr>
              <w:t>2010</w:t>
            </w:r>
            <w:r>
              <w:rPr>
                <w:rFonts w:hint="eastAsia" w:ascii="仿宋_GB2312" w:hAnsi="仿宋_GB2312" w:eastAsia="仿宋_GB2312" w:cs="仿宋_GB2312"/>
                <w:color w:val="000000"/>
                <w:spacing w:val="-4"/>
                <w:sz w:val="24"/>
                <w:szCs w:val="24"/>
              </w:rPr>
              <w:t>〕</w:t>
            </w:r>
            <w:r>
              <w:rPr>
                <w:rFonts w:ascii="仿宋_GB2312" w:hAnsi="仿宋_GB2312" w:eastAsia="仿宋_GB2312" w:cs="仿宋_GB2312"/>
                <w:color w:val="000000"/>
                <w:spacing w:val="-4"/>
                <w:sz w:val="24"/>
                <w:szCs w:val="24"/>
              </w:rPr>
              <w:t>85</w:t>
            </w:r>
            <w:r>
              <w:rPr>
                <w:rFonts w:hint="eastAsia" w:ascii="仿宋_GB2312" w:hAnsi="仿宋_GB2312" w:eastAsia="仿宋_GB2312" w:cs="仿宋_GB2312"/>
                <w:color w:val="000000"/>
                <w:spacing w:val="-4"/>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关于进一步加快我市存量公有住房出售解决房改遗留问题的通知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2011</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6</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关于在城市规划区内禁止现场搅拌混凝土的通知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2011</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7</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关于转发《市经济和信息化局市财政局市住房和城乡建设局关于做好农村推广散装水泥工作的意见的通知》的通知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2011</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93</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关于印发《滕州市地下管线规划建设管理办法》的通知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6"/>
                <w:sz w:val="24"/>
                <w:szCs w:val="24"/>
              </w:rPr>
              <w:t>滕政办发〔</w:t>
            </w:r>
            <w:r>
              <w:rPr>
                <w:rFonts w:ascii="仿宋_GB2312" w:hAnsi="仿宋_GB2312" w:eastAsia="仿宋_GB2312" w:cs="仿宋_GB2312"/>
                <w:color w:val="000000"/>
                <w:spacing w:val="-6"/>
                <w:sz w:val="24"/>
                <w:szCs w:val="24"/>
              </w:rPr>
              <w:t>2011</w:t>
            </w:r>
            <w:r>
              <w:rPr>
                <w:rFonts w:hint="eastAsia" w:ascii="仿宋_GB2312" w:hAnsi="仿宋_GB2312" w:eastAsia="仿宋_GB2312" w:cs="仿宋_GB2312"/>
                <w:color w:val="000000"/>
                <w:spacing w:val="-6"/>
                <w:sz w:val="24"/>
                <w:szCs w:val="24"/>
              </w:rPr>
              <w:t>〕</w:t>
            </w:r>
            <w:r>
              <w:rPr>
                <w:rFonts w:ascii="仿宋_GB2312" w:hAnsi="仿宋_GB2312" w:eastAsia="仿宋_GB2312" w:cs="仿宋_GB2312"/>
                <w:color w:val="000000"/>
                <w:spacing w:val="-6"/>
                <w:sz w:val="24"/>
                <w:szCs w:val="24"/>
              </w:rPr>
              <w:t>141</w:t>
            </w:r>
            <w:r>
              <w:rPr>
                <w:rFonts w:hint="eastAsia" w:ascii="仿宋_GB2312" w:hAnsi="仿宋_GB2312" w:eastAsia="仿宋_GB2312" w:cs="仿宋_GB2312"/>
                <w:color w:val="000000"/>
                <w:spacing w:val="-6"/>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关于印发《滕州市城市建设档案管理办法》的通知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2012</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105</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关于进一步加强和改进劳动保障监察工作的实施意见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2013</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28</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关于印发《滕州市新建小区配套建设体育设施的实施意见》的通知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市体育局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widowControl/>
              <w:jc w:val="center"/>
              <w:textAlignment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kern w:val="0"/>
                <w:sz w:val="24"/>
                <w:szCs w:val="24"/>
              </w:rPr>
              <w:t>滕政办发〔</w:t>
            </w:r>
            <w:r>
              <w:rPr>
                <w:rFonts w:ascii="仿宋_GB2312" w:hAnsi="仿宋_GB2312" w:eastAsia="仿宋_GB2312" w:cs="仿宋_GB2312"/>
                <w:color w:val="000000"/>
                <w:kern w:val="0"/>
                <w:sz w:val="24"/>
                <w:szCs w:val="24"/>
              </w:rPr>
              <w:t>2013</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68</w:t>
            </w:r>
            <w:r>
              <w:rPr>
                <w:rFonts w:hint="eastAsia" w:ascii="仿宋_GB2312" w:hAnsi="仿宋_GB2312" w:eastAsia="仿宋_GB2312" w:cs="仿宋_GB2312"/>
                <w:color w:val="000000"/>
                <w:kern w:val="0"/>
                <w:sz w:val="24"/>
                <w:szCs w:val="24"/>
              </w:rPr>
              <w:t>号</w:t>
            </w:r>
          </w:p>
        </w:tc>
        <w:tc>
          <w:tcPr>
            <w:tcW w:w="7273" w:type="dxa"/>
            <w:vAlign w:val="center"/>
          </w:tcPr>
          <w:p>
            <w:pPr>
              <w:widowControl/>
              <w:jc w:val="left"/>
              <w:textAlignment w:val="center"/>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关于进一步加强镇街农产品质量安全监管工作的通知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2013</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81</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关于建立城区住宅小区配套幼儿园长效管理机制的通知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widowControl/>
              <w:jc w:val="center"/>
              <w:textAlignment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kern w:val="0"/>
                <w:sz w:val="24"/>
                <w:szCs w:val="24"/>
              </w:rPr>
              <w:t>滕政办发〔</w:t>
            </w:r>
            <w:r>
              <w:rPr>
                <w:rFonts w:ascii="仿宋_GB2312" w:hAnsi="仿宋_GB2312" w:eastAsia="仿宋_GB2312" w:cs="仿宋_GB2312"/>
                <w:color w:val="000000"/>
                <w:kern w:val="0"/>
                <w:sz w:val="24"/>
                <w:szCs w:val="24"/>
              </w:rPr>
              <w:t>2013</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119</w:t>
            </w:r>
            <w:r>
              <w:rPr>
                <w:rFonts w:hint="eastAsia" w:ascii="仿宋_GB2312" w:hAnsi="仿宋_GB2312" w:eastAsia="仿宋_GB2312" w:cs="仿宋_GB2312"/>
                <w:color w:val="000000"/>
                <w:kern w:val="0"/>
                <w:sz w:val="24"/>
                <w:szCs w:val="24"/>
              </w:rPr>
              <w:t>号</w:t>
            </w:r>
          </w:p>
        </w:tc>
        <w:tc>
          <w:tcPr>
            <w:tcW w:w="7273" w:type="dxa"/>
            <w:vAlign w:val="center"/>
          </w:tcPr>
          <w:p>
            <w:pPr>
              <w:widowControl/>
              <w:jc w:val="left"/>
              <w:textAlignment w:val="center"/>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关于印发《滕州市“粮食增产模式攻关”项目玉米重大病虫灾变规律及防控措施攻关实施方案》的通知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widowControl/>
              <w:jc w:val="center"/>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滕政办发〔</w:t>
            </w:r>
            <w:r>
              <w:rPr>
                <w:rFonts w:ascii="仿宋_GB2312" w:hAnsi="仿宋_GB2312" w:eastAsia="仿宋_GB2312" w:cs="仿宋_GB2312"/>
                <w:color w:val="000000"/>
                <w:kern w:val="0"/>
                <w:sz w:val="24"/>
                <w:szCs w:val="24"/>
              </w:rPr>
              <w:t>2013</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121</w:t>
            </w:r>
            <w:r>
              <w:rPr>
                <w:rFonts w:hint="eastAsia" w:ascii="仿宋_GB2312" w:hAnsi="仿宋_GB2312" w:eastAsia="仿宋_GB2312" w:cs="仿宋_GB2312"/>
                <w:color w:val="000000"/>
                <w:kern w:val="0"/>
                <w:sz w:val="24"/>
                <w:szCs w:val="24"/>
              </w:rPr>
              <w:t>号</w:t>
            </w:r>
          </w:p>
        </w:tc>
        <w:tc>
          <w:tcPr>
            <w:tcW w:w="7273" w:type="dxa"/>
            <w:vAlign w:val="center"/>
          </w:tcPr>
          <w:p>
            <w:pPr>
              <w:widowControl/>
              <w:jc w:val="left"/>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关于印发《滕州市深化农村土地使用产权制度改革工作实施方案》等相关方案的通知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2013</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157</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关于印发《滕州市燃气供热安全生产事故应急预案》的通知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滕政办发〔</w:t>
            </w:r>
            <w:r>
              <w:rPr>
                <w:rFonts w:ascii="仿宋_GB2312" w:hAnsi="仿宋_GB2312" w:eastAsia="仿宋_GB2312" w:cs="仿宋_GB2312"/>
                <w:color w:val="000000"/>
                <w:spacing w:val="-4"/>
                <w:sz w:val="24"/>
                <w:szCs w:val="24"/>
              </w:rPr>
              <w:t>2014</w:t>
            </w:r>
            <w:r>
              <w:rPr>
                <w:rFonts w:hint="eastAsia" w:ascii="仿宋_GB2312" w:hAnsi="仿宋_GB2312" w:eastAsia="仿宋_GB2312" w:cs="仿宋_GB2312"/>
                <w:color w:val="000000"/>
                <w:spacing w:val="-4"/>
                <w:sz w:val="24"/>
                <w:szCs w:val="24"/>
              </w:rPr>
              <w:t>〕</w:t>
            </w:r>
            <w:r>
              <w:rPr>
                <w:rFonts w:ascii="仿宋_GB2312" w:hAnsi="仿宋_GB2312" w:eastAsia="仿宋_GB2312" w:cs="仿宋_GB2312"/>
                <w:color w:val="000000"/>
                <w:spacing w:val="-4"/>
                <w:sz w:val="24"/>
                <w:szCs w:val="24"/>
              </w:rPr>
              <w:t>2</w:t>
            </w:r>
            <w:r>
              <w:rPr>
                <w:rFonts w:hint="eastAsia" w:ascii="仿宋_GB2312" w:hAnsi="仿宋_GB2312" w:eastAsia="仿宋_GB2312" w:cs="仿宋_GB2312"/>
                <w:color w:val="000000"/>
                <w:spacing w:val="-4"/>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关于印发《滕州市火灾事故应急救援预案》的通知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市林业局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4"/>
                <w:sz w:val="24"/>
                <w:szCs w:val="24"/>
              </w:rPr>
              <w:t>滕政办发〔</w:t>
            </w:r>
            <w:r>
              <w:rPr>
                <w:rFonts w:ascii="仿宋_GB2312" w:hAnsi="仿宋_GB2312" w:eastAsia="仿宋_GB2312" w:cs="仿宋_GB2312"/>
                <w:color w:val="000000"/>
                <w:spacing w:val="-4"/>
                <w:sz w:val="24"/>
                <w:szCs w:val="24"/>
              </w:rPr>
              <w:t>2014</w:t>
            </w:r>
            <w:r>
              <w:rPr>
                <w:rFonts w:hint="eastAsia" w:ascii="仿宋_GB2312" w:hAnsi="仿宋_GB2312" w:eastAsia="仿宋_GB2312" w:cs="仿宋_GB2312"/>
                <w:color w:val="000000"/>
                <w:spacing w:val="-4"/>
                <w:sz w:val="24"/>
                <w:szCs w:val="24"/>
              </w:rPr>
              <w:t>〕</w:t>
            </w:r>
            <w:r>
              <w:rPr>
                <w:rFonts w:ascii="仿宋_GB2312" w:hAnsi="仿宋_GB2312" w:eastAsia="仿宋_GB2312" w:cs="仿宋_GB2312"/>
                <w:color w:val="000000"/>
                <w:spacing w:val="-4"/>
                <w:sz w:val="24"/>
                <w:szCs w:val="24"/>
              </w:rPr>
              <w:t>25</w:t>
            </w:r>
            <w:r>
              <w:rPr>
                <w:rFonts w:hint="eastAsia" w:ascii="仿宋_GB2312" w:hAnsi="仿宋_GB2312" w:eastAsia="仿宋_GB2312" w:cs="仿宋_GB2312"/>
                <w:color w:val="000000"/>
                <w:spacing w:val="-4"/>
                <w:sz w:val="24"/>
                <w:szCs w:val="24"/>
              </w:rPr>
              <w:t>号</w:t>
            </w:r>
          </w:p>
        </w:tc>
        <w:tc>
          <w:tcPr>
            <w:tcW w:w="7273" w:type="dxa"/>
            <w:vAlign w:val="center"/>
          </w:tcPr>
          <w:p>
            <w:pPr>
              <w:spacing w:line="380" w:lineRule="exact"/>
              <w:jc w:val="left"/>
              <w:rPr>
                <w:rFonts w:ascii="仿宋_GB2312" w:hAnsi="仿宋_GB2312" w:eastAsia="仿宋_GB2312" w:cs="Times New Roman"/>
                <w:b/>
                <w:bCs/>
                <w:sz w:val="24"/>
                <w:szCs w:val="24"/>
              </w:rPr>
            </w:pPr>
            <w:r>
              <w:rPr>
                <w:rFonts w:hint="eastAsia" w:ascii="仿宋_GB2312" w:hAnsi="仿宋_GB2312" w:eastAsia="仿宋_GB2312" w:cs="仿宋_GB2312"/>
                <w:sz w:val="24"/>
                <w:szCs w:val="24"/>
              </w:rPr>
              <w:t>关于创建创业型镇街创业型社区工作的通知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滕政办发〔</w:t>
            </w:r>
            <w:r>
              <w:rPr>
                <w:rFonts w:ascii="仿宋_GB2312" w:hAnsi="仿宋_GB2312" w:eastAsia="仿宋_GB2312" w:cs="仿宋_GB2312"/>
                <w:color w:val="000000"/>
                <w:spacing w:val="-4"/>
                <w:sz w:val="24"/>
                <w:szCs w:val="24"/>
              </w:rPr>
              <w:t>2014</w:t>
            </w:r>
            <w:r>
              <w:rPr>
                <w:rFonts w:hint="eastAsia" w:ascii="仿宋_GB2312" w:hAnsi="仿宋_GB2312" w:eastAsia="仿宋_GB2312" w:cs="仿宋_GB2312"/>
                <w:color w:val="000000"/>
                <w:spacing w:val="-4"/>
                <w:sz w:val="24"/>
                <w:szCs w:val="24"/>
              </w:rPr>
              <w:t>〕</w:t>
            </w:r>
            <w:r>
              <w:rPr>
                <w:rFonts w:ascii="仿宋_GB2312" w:hAnsi="仿宋_GB2312" w:eastAsia="仿宋_GB2312" w:cs="仿宋_GB2312"/>
                <w:color w:val="000000"/>
                <w:spacing w:val="-4"/>
                <w:sz w:val="24"/>
                <w:szCs w:val="24"/>
              </w:rPr>
              <w:t>46</w:t>
            </w:r>
            <w:r>
              <w:rPr>
                <w:rFonts w:hint="eastAsia" w:ascii="仿宋_GB2312" w:hAnsi="仿宋_GB2312" w:eastAsia="仿宋_GB2312" w:cs="仿宋_GB2312"/>
                <w:color w:val="000000"/>
                <w:spacing w:val="-4"/>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关于进一步规范突发事件应急预案管理的通知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市林业局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滕政办发〔</w:t>
            </w:r>
            <w:r>
              <w:rPr>
                <w:rFonts w:ascii="仿宋_GB2312" w:hAnsi="仿宋_GB2312" w:eastAsia="仿宋_GB2312" w:cs="仿宋_GB2312"/>
                <w:color w:val="000000"/>
                <w:spacing w:val="-4"/>
                <w:sz w:val="24"/>
                <w:szCs w:val="24"/>
              </w:rPr>
              <w:t>2014</w:t>
            </w:r>
            <w:r>
              <w:rPr>
                <w:rFonts w:hint="eastAsia" w:ascii="仿宋_GB2312" w:hAnsi="仿宋_GB2312" w:eastAsia="仿宋_GB2312" w:cs="仿宋_GB2312"/>
                <w:color w:val="000000"/>
                <w:spacing w:val="-4"/>
                <w:sz w:val="24"/>
                <w:szCs w:val="24"/>
              </w:rPr>
              <w:t>〕</w:t>
            </w:r>
            <w:r>
              <w:rPr>
                <w:rFonts w:ascii="仿宋_GB2312" w:hAnsi="仿宋_GB2312" w:eastAsia="仿宋_GB2312" w:cs="仿宋_GB2312"/>
                <w:color w:val="000000"/>
                <w:spacing w:val="-4"/>
                <w:sz w:val="24"/>
                <w:szCs w:val="24"/>
              </w:rPr>
              <w:t>51</w:t>
            </w:r>
            <w:r>
              <w:rPr>
                <w:rFonts w:hint="eastAsia" w:ascii="仿宋_GB2312" w:hAnsi="仿宋_GB2312" w:eastAsia="仿宋_GB2312" w:cs="仿宋_GB2312"/>
                <w:color w:val="000000"/>
                <w:spacing w:val="-4"/>
                <w:sz w:val="24"/>
                <w:szCs w:val="24"/>
              </w:rPr>
              <w:t>号</w:t>
            </w:r>
          </w:p>
        </w:tc>
        <w:tc>
          <w:tcPr>
            <w:tcW w:w="7273" w:type="dxa"/>
            <w:vAlign w:val="center"/>
          </w:tcPr>
          <w:p>
            <w:pPr>
              <w:spacing w:line="380" w:lineRule="exact"/>
              <w:jc w:val="left"/>
              <w:rPr>
                <w:rFonts w:ascii="仿宋_GB2312" w:hAnsi="仿宋_GB2312" w:eastAsia="仿宋_GB2312" w:cs="Times New Roman"/>
                <w:color w:val="000000"/>
                <w:kern w:val="0"/>
                <w:sz w:val="24"/>
                <w:szCs w:val="24"/>
              </w:rPr>
            </w:pPr>
            <w:r>
              <w:rPr>
                <w:rFonts w:hint="eastAsia" w:ascii="仿宋_GB2312" w:hAnsi="仿宋_GB2312" w:eastAsia="仿宋_GB2312" w:cs="仿宋_GB2312"/>
                <w:sz w:val="24"/>
                <w:szCs w:val="24"/>
              </w:rPr>
              <w:t>关于做好黄标车区域禁行工作的通知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市公安局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4"/>
                <w:sz w:val="24"/>
                <w:szCs w:val="24"/>
              </w:rPr>
              <w:t>滕政办发〔</w:t>
            </w:r>
            <w:r>
              <w:rPr>
                <w:rFonts w:ascii="仿宋_GB2312" w:hAnsi="仿宋_GB2312" w:eastAsia="仿宋_GB2312" w:cs="仿宋_GB2312"/>
                <w:color w:val="000000"/>
                <w:spacing w:val="-4"/>
                <w:sz w:val="24"/>
                <w:szCs w:val="24"/>
              </w:rPr>
              <w:t>2014</w:t>
            </w:r>
            <w:r>
              <w:rPr>
                <w:rFonts w:hint="eastAsia" w:ascii="仿宋_GB2312" w:hAnsi="仿宋_GB2312" w:eastAsia="仿宋_GB2312" w:cs="仿宋_GB2312"/>
                <w:color w:val="000000"/>
                <w:spacing w:val="-4"/>
                <w:sz w:val="24"/>
                <w:szCs w:val="24"/>
              </w:rPr>
              <w:t>〕</w:t>
            </w:r>
            <w:r>
              <w:rPr>
                <w:rFonts w:ascii="仿宋_GB2312" w:hAnsi="仿宋_GB2312" w:eastAsia="仿宋_GB2312" w:cs="仿宋_GB2312"/>
                <w:color w:val="000000"/>
                <w:spacing w:val="-4"/>
                <w:sz w:val="24"/>
                <w:szCs w:val="24"/>
              </w:rPr>
              <w:t>70</w:t>
            </w:r>
            <w:r>
              <w:rPr>
                <w:rFonts w:hint="eastAsia" w:ascii="仿宋_GB2312" w:hAnsi="仿宋_GB2312" w:eastAsia="仿宋_GB2312" w:cs="仿宋_GB2312"/>
                <w:color w:val="000000"/>
                <w:spacing w:val="-4"/>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关于规范镇域燃气市场管理工作的通知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滕政办发〔</w:t>
            </w:r>
            <w:r>
              <w:rPr>
                <w:rFonts w:ascii="仿宋_GB2312" w:hAnsi="仿宋_GB2312" w:eastAsia="仿宋_GB2312" w:cs="仿宋_GB2312"/>
                <w:color w:val="000000"/>
                <w:spacing w:val="-4"/>
                <w:sz w:val="24"/>
                <w:szCs w:val="24"/>
              </w:rPr>
              <w:t>2014</w:t>
            </w:r>
            <w:r>
              <w:rPr>
                <w:rFonts w:hint="eastAsia" w:ascii="仿宋_GB2312" w:hAnsi="仿宋_GB2312" w:eastAsia="仿宋_GB2312" w:cs="仿宋_GB2312"/>
                <w:color w:val="000000"/>
                <w:spacing w:val="-4"/>
                <w:sz w:val="24"/>
                <w:szCs w:val="24"/>
              </w:rPr>
              <w:t>〕</w:t>
            </w:r>
            <w:r>
              <w:rPr>
                <w:rFonts w:ascii="仿宋_GB2312" w:hAnsi="仿宋_GB2312" w:eastAsia="仿宋_GB2312" w:cs="仿宋_GB2312"/>
                <w:color w:val="000000"/>
                <w:spacing w:val="-4"/>
                <w:sz w:val="24"/>
                <w:szCs w:val="24"/>
              </w:rPr>
              <w:t>108</w:t>
            </w:r>
            <w:r>
              <w:rPr>
                <w:rFonts w:hint="eastAsia" w:ascii="仿宋_GB2312" w:hAnsi="仿宋_GB2312" w:eastAsia="仿宋_GB2312" w:cs="仿宋_GB2312"/>
                <w:color w:val="000000"/>
                <w:spacing w:val="-4"/>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关于加快我市建筑节能与结构一体化技术应用工作的意见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2015</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7</w:t>
            </w:r>
            <w:r>
              <w:rPr>
                <w:rFonts w:hint="eastAsia" w:ascii="仿宋_GB2312" w:hAnsi="仿宋_GB2312" w:eastAsia="仿宋_GB2312" w:cs="仿宋_GB2312"/>
                <w:color w:val="000000"/>
                <w:sz w:val="24"/>
                <w:szCs w:val="24"/>
              </w:rPr>
              <w:t>号</w:t>
            </w:r>
          </w:p>
        </w:tc>
        <w:tc>
          <w:tcPr>
            <w:tcW w:w="7273" w:type="dxa"/>
            <w:vAlign w:val="center"/>
          </w:tcPr>
          <w:p>
            <w:pPr>
              <w:spacing w:line="40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关于贯彻落实枣政办发〔</w:t>
            </w:r>
            <w:r>
              <w:rPr>
                <w:rFonts w:ascii="仿宋_GB2312" w:hAnsi="仿宋_GB2312" w:eastAsia="仿宋_GB2312" w:cs="仿宋_GB2312"/>
                <w:sz w:val="24"/>
                <w:szCs w:val="24"/>
              </w:rPr>
              <w:t>2014</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39</w:t>
            </w:r>
            <w:r>
              <w:rPr>
                <w:rFonts w:hint="eastAsia" w:ascii="仿宋_GB2312" w:hAnsi="仿宋_GB2312" w:eastAsia="仿宋_GB2312" w:cs="仿宋_GB2312"/>
                <w:sz w:val="24"/>
                <w:szCs w:val="24"/>
              </w:rPr>
              <w:t>号文件精神促进煤炭行业平稳运行的意见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市煤炭局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1"/>
                <w:sz w:val="24"/>
                <w:szCs w:val="24"/>
              </w:rPr>
              <w:t>滕政办发〔</w:t>
            </w:r>
            <w:r>
              <w:rPr>
                <w:rFonts w:ascii="仿宋_GB2312" w:hAnsi="仿宋_GB2312" w:eastAsia="仿宋_GB2312" w:cs="仿宋_GB2312"/>
                <w:color w:val="000000"/>
                <w:spacing w:val="-1"/>
                <w:sz w:val="24"/>
                <w:szCs w:val="24"/>
              </w:rPr>
              <w:t>2015</w:t>
            </w:r>
            <w:r>
              <w:rPr>
                <w:rFonts w:hint="eastAsia" w:ascii="仿宋_GB2312" w:hAnsi="仿宋_GB2312" w:eastAsia="仿宋_GB2312" w:cs="仿宋_GB2312"/>
                <w:color w:val="000000"/>
                <w:spacing w:val="-1"/>
                <w:sz w:val="24"/>
                <w:szCs w:val="24"/>
              </w:rPr>
              <w:t>〕</w:t>
            </w:r>
            <w:r>
              <w:rPr>
                <w:rFonts w:ascii="仿宋_GB2312" w:hAnsi="仿宋_GB2312" w:eastAsia="仿宋_GB2312" w:cs="仿宋_GB2312"/>
                <w:color w:val="000000"/>
                <w:spacing w:val="-1"/>
                <w:sz w:val="24"/>
                <w:szCs w:val="24"/>
              </w:rPr>
              <w:t>17</w:t>
            </w:r>
            <w:r>
              <w:rPr>
                <w:rFonts w:hint="eastAsia" w:ascii="仿宋_GB2312" w:hAnsi="仿宋_GB2312" w:eastAsia="仿宋_GB2312" w:cs="仿宋_GB2312"/>
                <w:color w:val="000000"/>
                <w:spacing w:val="-1"/>
                <w:sz w:val="24"/>
                <w:szCs w:val="24"/>
              </w:rPr>
              <w:t>号</w:t>
            </w:r>
          </w:p>
        </w:tc>
        <w:tc>
          <w:tcPr>
            <w:tcW w:w="7273" w:type="dxa"/>
            <w:vAlign w:val="center"/>
          </w:tcPr>
          <w:p>
            <w:pPr>
              <w:spacing w:line="40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spacing w:val="-1"/>
                <w:sz w:val="24"/>
                <w:szCs w:val="24"/>
              </w:rPr>
              <w:t>关于建立全市企业信用档案的通知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市发改局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2015</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45</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关于印发《滕州市金融突发事件应急预案》的通知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市金融办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2015</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63</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关于在全市推广应用预拌砂浆和城区限期禁止现场搅拌砂浆的通知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widowControl/>
              <w:jc w:val="center"/>
              <w:textAlignment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kern w:val="0"/>
                <w:sz w:val="24"/>
                <w:szCs w:val="24"/>
              </w:rPr>
              <w:t>滕政办发〔</w:t>
            </w:r>
            <w:r>
              <w:rPr>
                <w:rFonts w:ascii="仿宋_GB2312" w:hAnsi="仿宋_GB2312" w:eastAsia="仿宋_GB2312" w:cs="仿宋_GB2312"/>
                <w:color w:val="000000"/>
                <w:kern w:val="0"/>
                <w:sz w:val="24"/>
                <w:szCs w:val="24"/>
              </w:rPr>
              <w:t>2015</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74</w:t>
            </w:r>
            <w:r>
              <w:rPr>
                <w:rFonts w:hint="eastAsia" w:ascii="仿宋_GB2312" w:hAnsi="仿宋_GB2312" w:eastAsia="仿宋_GB2312" w:cs="仿宋_GB2312"/>
                <w:color w:val="000000"/>
                <w:kern w:val="0"/>
                <w:sz w:val="24"/>
                <w:szCs w:val="24"/>
              </w:rPr>
              <w:t>号</w:t>
            </w:r>
          </w:p>
        </w:tc>
        <w:tc>
          <w:tcPr>
            <w:tcW w:w="7273" w:type="dxa"/>
            <w:vAlign w:val="center"/>
          </w:tcPr>
          <w:p>
            <w:pPr>
              <w:widowControl/>
              <w:jc w:val="left"/>
              <w:textAlignment w:val="center"/>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关于印发《</w:t>
            </w:r>
            <w:r>
              <w:rPr>
                <w:rFonts w:ascii="仿宋_GB2312" w:hAnsi="仿宋_GB2312" w:eastAsia="仿宋_GB2312" w:cs="仿宋_GB2312"/>
                <w:color w:val="000000"/>
                <w:kern w:val="0"/>
                <w:sz w:val="24"/>
                <w:szCs w:val="24"/>
              </w:rPr>
              <w:t>2015</w:t>
            </w:r>
            <w:r>
              <w:rPr>
                <w:rFonts w:hint="eastAsia" w:ascii="仿宋_GB2312" w:hAnsi="仿宋_GB2312" w:eastAsia="仿宋_GB2312" w:cs="仿宋_GB2312"/>
                <w:color w:val="000000"/>
                <w:kern w:val="0"/>
                <w:sz w:val="24"/>
                <w:szCs w:val="24"/>
              </w:rPr>
              <w:t>年全市政策性农业保险工作实施方案》的通知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2015</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109</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关于清理规范市直部门（单位）行政审批中介服务的通知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4"/>
                <w:sz w:val="24"/>
                <w:szCs w:val="24"/>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2015</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110</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关于转发《枣庄市人民政府办公室关于印发枣庄市行政审批事中事后监管办法的通知》的通知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市林业局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17</w:t>
            </w:r>
            <w:r>
              <w:rPr>
                <w:rFonts w:hint="eastAsia" w:ascii="仿宋_GB2312" w:hAnsi="仿宋_GB2312" w:eastAsia="仿宋_GB2312" w:cs="仿宋_GB2312"/>
                <w:color w:val="000000"/>
                <w:sz w:val="24"/>
                <w:szCs w:val="24"/>
              </w:rPr>
              <w:t>号</w:t>
            </w:r>
          </w:p>
        </w:tc>
        <w:tc>
          <w:tcPr>
            <w:tcW w:w="7273" w:type="dxa"/>
          </w:tcPr>
          <w:p>
            <w:pPr>
              <w:spacing w:line="36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关于印发《滕州市林地经营权流转证试点工作实施方案》的通知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市林业局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20</w:t>
            </w:r>
            <w:r>
              <w:rPr>
                <w:rFonts w:hint="eastAsia" w:ascii="仿宋_GB2312" w:hAnsi="仿宋_GB2312" w:eastAsia="仿宋_GB2312" w:cs="仿宋_GB2312"/>
                <w:color w:val="000000"/>
                <w:sz w:val="24"/>
                <w:szCs w:val="24"/>
              </w:rPr>
              <w:t>号</w:t>
            </w:r>
          </w:p>
        </w:tc>
        <w:tc>
          <w:tcPr>
            <w:tcW w:w="7273" w:type="dxa"/>
          </w:tcPr>
          <w:p>
            <w:pPr>
              <w:spacing w:line="36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关于加强安全环保节能管理加快全市化工产业转型的意见</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37</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sz w:val="24"/>
                <w:szCs w:val="24"/>
              </w:rPr>
              <w:t>关于明确部分化工危险化学品和医药加工企业安全监管责任的通知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z w:val="24"/>
                <w:szCs w:val="24"/>
              </w:rPr>
              <w:t>市安监局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39</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关于印发《滕州市饮用水源地环境污染事故应急处置预案》的通知</w:t>
            </w:r>
          </w:p>
        </w:tc>
        <w:tc>
          <w:tcPr>
            <w:tcW w:w="2896" w:type="dxa"/>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63</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关于进一步加强乡村医生队伍建设的实施意见</w:t>
            </w:r>
          </w:p>
        </w:tc>
        <w:tc>
          <w:tcPr>
            <w:tcW w:w="2896" w:type="dxa"/>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81</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关于建立年度全市</w:t>
            </w:r>
            <w:r>
              <w:rPr>
                <w:rFonts w:ascii="仿宋_GB2312" w:hAnsi="仿宋_GB2312" w:eastAsia="仿宋_GB2312" w:cs="仿宋_GB2312"/>
                <w:sz w:val="24"/>
                <w:szCs w:val="24"/>
              </w:rPr>
              <w:t>1%</w:t>
            </w:r>
            <w:r>
              <w:rPr>
                <w:rFonts w:hint="eastAsia" w:ascii="仿宋_GB2312" w:hAnsi="仿宋_GB2312" w:eastAsia="仿宋_GB2312" w:cs="仿宋_GB2312"/>
                <w:sz w:val="24"/>
                <w:szCs w:val="24"/>
              </w:rPr>
              <w:t>人口抽样调查制度的通知</w:t>
            </w:r>
          </w:p>
        </w:tc>
        <w:tc>
          <w:tcPr>
            <w:tcW w:w="2896" w:type="dxa"/>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市统计局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83</w:t>
            </w:r>
            <w:r>
              <w:rPr>
                <w:rFonts w:hint="eastAsia" w:ascii="仿宋_GB2312" w:hAnsi="仿宋_GB2312" w:eastAsia="仿宋_GB2312" w:cs="仿宋_GB2312"/>
                <w:color w:val="000000"/>
                <w:sz w:val="24"/>
                <w:szCs w:val="24"/>
              </w:rPr>
              <w:t>号</w:t>
            </w:r>
          </w:p>
        </w:tc>
        <w:tc>
          <w:tcPr>
            <w:tcW w:w="7273"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关于印发《滕州市生产安全事故报告、案审和公示暂行规定》的通知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市安监局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87</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关于城区住宅小区规划红线内供热设施移交供热企业管理使用的通知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tcPr>
          <w:p>
            <w:pPr>
              <w:spacing w:line="44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sz w:val="24"/>
                <w:szCs w:val="24"/>
              </w:rPr>
              <w:t>96</w:t>
            </w:r>
            <w:r>
              <w:rPr>
                <w:rFonts w:hint="eastAsia" w:ascii="仿宋_GB2312" w:hAnsi="仿宋_GB2312" w:eastAsia="仿宋_GB2312" w:cs="仿宋_GB2312"/>
                <w:sz w:val="24"/>
                <w:szCs w:val="24"/>
              </w:rPr>
              <w:t>号</w:t>
            </w:r>
          </w:p>
        </w:tc>
        <w:tc>
          <w:tcPr>
            <w:tcW w:w="7273" w:type="dxa"/>
          </w:tcPr>
          <w:p>
            <w:pPr>
              <w:spacing w:line="44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关于印发《滕州市流动儿童免疫规划管理办法》的通知</w:t>
            </w:r>
          </w:p>
        </w:tc>
        <w:tc>
          <w:tcPr>
            <w:tcW w:w="2896" w:type="dxa"/>
          </w:tcPr>
          <w:p>
            <w:pPr>
              <w:spacing w:line="44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101</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333333"/>
                <w:sz w:val="24"/>
                <w:szCs w:val="24"/>
                <w:shd w:val="clear" w:color="auto" w:fill="FFFFFF"/>
              </w:rPr>
            </w:pPr>
            <w:r>
              <w:rPr>
                <w:rFonts w:hint="eastAsia" w:ascii="仿宋_GB2312" w:hAnsi="仿宋_GB2312" w:eastAsia="仿宋_GB2312" w:cs="仿宋_GB2312"/>
                <w:color w:val="000000"/>
                <w:sz w:val="24"/>
                <w:szCs w:val="24"/>
              </w:rPr>
              <w:t>关于进一步加强职业病防治工作的通知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市安监局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104</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333333"/>
                <w:sz w:val="24"/>
                <w:szCs w:val="24"/>
                <w:shd w:val="clear" w:color="auto" w:fill="FFFFFF"/>
              </w:rPr>
              <w:t>关于进一步做好农村土地承包管理工作的通知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市经管局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tcPr>
          <w:p>
            <w:pPr>
              <w:spacing w:line="44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sz w:val="24"/>
                <w:szCs w:val="24"/>
              </w:rPr>
              <w:t>108</w:t>
            </w:r>
            <w:r>
              <w:rPr>
                <w:rFonts w:hint="eastAsia" w:ascii="仿宋_GB2312" w:hAnsi="仿宋_GB2312" w:eastAsia="仿宋_GB2312" w:cs="仿宋_GB2312"/>
                <w:sz w:val="24"/>
                <w:szCs w:val="24"/>
              </w:rPr>
              <w:t>号</w:t>
            </w:r>
          </w:p>
        </w:tc>
        <w:tc>
          <w:tcPr>
            <w:tcW w:w="7273" w:type="dxa"/>
          </w:tcPr>
          <w:p>
            <w:pPr>
              <w:spacing w:line="440" w:lineRule="exact"/>
              <w:jc w:val="left"/>
              <w:rPr>
                <w:rFonts w:ascii="仿宋_GB2312" w:hAnsi="仿宋_GB2312" w:eastAsia="仿宋_GB2312" w:cs="Times New Roman"/>
                <w:color w:val="333333"/>
                <w:sz w:val="24"/>
                <w:szCs w:val="24"/>
                <w:shd w:val="clear" w:color="auto" w:fill="FFFFFF"/>
              </w:rPr>
            </w:pPr>
            <w:r>
              <w:rPr>
                <w:rFonts w:hint="eastAsia" w:ascii="仿宋_GB2312" w:hAnsi="仿宋_GB2312" w:eastAsia="仿宋_GB2312" w:cs="仿宋_GB2312"/>
                <w:sz w:val="24"/>
                <w:szCs w:val="24"/>
              </w:rPr>
              <w:t>关于印发《滕州市集中供热管理实施办法》的通知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tcPr>
          <w:p>
            <w:pPr>
              <w:spacing w:line="44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滕政办发〔</w:t>
            </w:r>
            <w:r>
              <w:rPr>
                <w:rFonts w:ascii="仿宋_GB2312" w:hAnsi="仿宋_GB2312" w:eastAsia="仿宋_GB2312" w:cs="仿宋_GB2312"/>
                <w:sz w:val="24"/>
                <w:szCs w:val="24"/>
              </w:rPr>
              <w:t>2016</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110</w:t>
            </w:r>
            <w:r>
              <w:rPr>
                <w:rFonts w:hint="eastAsia" w:ascii="仿宋_GB2312" w:hAnsi="仿宋_GB2312" w:eastAsia="仿宋_GB2312" w:cs="仿宋_GB2312"/>
                <w:sz w:val="24"/>
                <w:szCs w:val="24"/>
              </w:rPr>
              <w:t>号</w:t>
            </w:r>
          </w:p>
        </w:tc>
        <w:tc>
          <w:tcPr>
            <w:tcW w:w="7273" w:type="dxa"/>
          </w:tcPr>
          <w:p>
            <w:pPr>
              <w:spacing w:line="44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关于印发《滕州市重污染天气应急预案》的通知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121</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333333"/>
                <w:sz w:val="24"/>
                <w:szCs w:val="24"/>
                <w:shd w:val="clear" w:color="auto" w:fill="FFFFFF"/>
              </w:rPr>
            </w:pPr>
            <w:r>
              <w:rPr>
                <w:rFonts w:hint="eastAsia" w:ascii="仿宋_GB2312" w:hAnsi="仿宋_GB2312" w:eastAsia="仿宋_GB2312" w:cs="仿宋_GB2312"/>
                <w:color w:val="333333"/>
                <w:sz w:val="24"/>
                <w:szCs w:val="24"/>
                <w:shd w:val="clear" w:color="auto" w:fill="FFFFFF"/>
              </w:rPr>
              <w:t>关于加快推进全市煤炭清洁高效利用工作的实施意见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市煤炭局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滕政办发〔</w:t>
            </w:r>
            <w:r>
              <w:rPr>
                <w:rFonts w:ascii="仿宋_GB2312" w:hAnsi="仿宋_GB2312" w:eastAsia="仿宋_GB2312" w:cs="仿宋_GB2312"/>
                <w:sz w:val="24"/>
                <w:szCs w:val="24"/>
              </w:rPr>
              <w:t>2016</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122</w:t>
            </w:r>
            <w:r>
              <w:rPr>
                <w:rFonts w:hint="eastAsia" w:ascii="仿宋_GB2312" w:hAnsi="仿宋_GB2312" w:eastAsia="仿宋_GB2312" w:cs="仿宋_GB2312"/>
                <w:sz w:val="24"/>
                <w:szCs w:val="24"/>
              </w:rPr>
              <w:t>号</w:t>
            </w:r>
          </w:p>
        </w:tc>
        <w:tc>
          <w:tcPr>
            <w:tcW w:w="7273" w:type="dxa"/>
            <w:vAlign w:val="center"/>
          </w:tcPr>
          <w:p>
            <w:pPr>
              <w:spacing w:line="380" w:lineRule="exact"/>
              <w:jc w:val="left"/>
              <w:rPr>
                <w:rFonts w:ascii="仿宋_GB2312" w:hAnsi="仿宋_GB2312" w:eastAsia="仿宋_GB2312" w:cs="Times New Roman"/>
                <w:color w:val="333333"/>
                <w:sz w:val="24"/>
                <w:szCs w:val="24"/>
                <w:shd w:val="clear" w:color="auto" w:fill="FFFFFF"/>
              </w:rPr>
            </w:pPr>
            <w:r>
              <w:rPr>
                <w:rFonts w:hint="eastAsia" w:ascii="仿宋_GB2312" w:hAnsi="仿宋_GB2312" w:eastAsia="仿宋_GB2312" w:cs="仿宋_GB2312"/>
                <w:sz w:val="24"/>
                <w:szCs w:val="24"/>
              </w:rPr>
              <w:t>关于印发《滕州市大气污染防治技术导则》的通知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tcPr>
          <w:p>
            <w:pPr>
              <w:spacing w:line="44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sz w:val="24"/>
                <w:szCs w:val="24"/>
              </w:rPr>
              <w:t>137</w:t>
            </w:r>
            <w:r>
              <w:rPr>
                <w:rFonts w:hint="eastAsia" w:ascii="仿宋_GB2312" w:hAnsi="仿宋_GB2312" w:eastAsia="仿宋_GB2312" w:cs="仿宋_GB2312"/>
                <w:sz w:val="24"/>
                <w:szCs w:val="24"/>
              </w:rPr>
              <w:t>号</w:t>
            </w:r>
          </w:p>
        </w:tc>
        <w:tc>
          <w:tcPr>
            <w:tcW w:w="7273" w:type="dxa"/>
          </w:tcPr>
          <w:p>
            <w:pPr>
              <w:spacing w:line="440" w:lineRule="exact"/>
              <w:jc w:val="left"/>
              <w:rPr>
                <w:rFonts w:ascii="仿宋_GB2312" w:hAnsi="仿宋_GB2312" w:eastAsia="仿宋_GB2312" w:cs="Times New Roman"/>
                <w:color w:val="333333"/>
                <w:sz w:val="24"/>
                <w:szCs w:val="24"/>
                <w:shd w:val="clear" w:color="auto" w:fill="FFFFFF"/>
              </w:rPr>
            </w:pPr>
            <w:r>
              <w:rPr>
                <w:rFonts w:hint="eastAsia" w:ascii="仿宋_GB2312" w:hAnsi="仿宋_GB2312" w:eastAsia="仿宋_GB2312" w:cs="仿宋_GB2312"/>
                <w:sz w:val="24"/>
                <w:szCs w:val="24"/>
              </w:rPr>
              <w:t>关于进一步规范社会抚养费征收管理有关问题的通知</w:t>
            </w:r>
          </w:p>
        </w:tc>
        <w:tc>
          <w:tcPr>
            <w:tcW w:w="2896" w:type="dxa"/>
          </w:tcPr>
          <w:p>
            <w:pPr>
              <w:spacing w:line="44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tcPr>
          <w:p>
            <w:pPr>
              <w:spacing w:line="44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sz w:val="24"/>
                <w:szCs w:val="24"/>
              </w:rPr>
              <w:t>138</w:t>
            </w:r>
            <w:r>
              <w:rPr>
                <w:rFonts w:hint="eastAsia" w:ascii="仿宋_GB2312" w:hAnsi="仿宋_GB2312" w:eastAsia="仿宋_GB2312" w:cs="仿宋_GB2312"/>
                <w:sz w:val="24"/>
                <w:szCs w:val="24"/>
              </w:rPr>
              <w:t>号</w:t>
            </w:r>
          </w:p>
        </w:tc>
        <w:tc>
          <w:tcPr>
            <w:tcW w:w="7273" w:type="dxa"/>
          </w:tcPr>
          <w:p>
            <w:pPr>
              <w:spacing w:line="440" w:lineRule="exact"/>
              <w:jc w:val="left"/>
              <w:rPr>
                <w:rFonts w:ascii="仿宋_GB2312" w:hAnsi="仿宋_GB2312" w:eastAsia="仿宋_GB2312" w:cs="Times New Roman"/>
                <w:color w:val="333333"/>
                <w:sz w:val="24"/>
                <w:szCs w:val="24"/>
                <w:shd w:val="clear" w:color="auto" w:fill="FFFFFF"/>
              </w:rPr>
            </w:pPr>
            <w:r>
              <w:rPr>
                <w:rFonts w:hint="eastAsia" w:ascii="仿宋_GB2312" w:hAnsi="仿宋_GB2312" w:eastAsia="仿宋_GB2312" w:cs="仿宋_GB2312"/>
                <w:sz w:val="24"/>
                <w:szCs w:val="24"/>
              </w:rPr>
              <w:t>关于推进分级诊疗制度建设的实施意见</w:t>
            </w:r>
          </w:p>
        </w:tc>
        <w:tc>
          <w:tcPr>
            <w:tcW w:w="2896" w:type="dxa"/>
          </w:tcPr>
          <w:p>
            <w:pPr>
              <w:spacing w:line="44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滕政办发〔</w:t>
            </w:r>
            <w:r>
              <w:rPr>
                <w:rFonts w:ascii="仿宋_GB2312" w:hAnsi="仿宋_GB2312" w:eastAsia="仿宋_GB2312" w:cs="仿宋_GB2312"/>
                <w:sz w:val="24"/>
                <w:szCs w:val="24"/>
              </w:rPr>
              <w:t>2017</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 xml:space="preserve">18 </w:t>
            </w:r>
            <w:r>
              <w:rPr>
                <w:rFonts w:hint="eastAsia" w:ascii="仿宋_GB2312" w:hAnsi="仿宋_GB2312" w:eastAsia="仿宋_GB2312" w:cs="仿宋_GB2312"/>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关于印发《全市农村饮用水水源保护区划分方案》的通知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sz w:val="24"/>
                <w:szCs w:val="24"/>
              </w:rPr>
            </w:pPr>
            <w:r>
              <w:rPr>
                <w:rFonts w:hint="eastAsia" w:ascii="仿宋_GB2312" w:hAnsi="仿宋_GB2312" w:eastAsia="仿宋_GB2312" w:cs="仿宋_GB2312"/>
                <w:sz w:val="24"/>
                <w:szCs w:val="24"/>
              </w:rPr>
              <w:t>滕政办发〔</w:t>
            </w:r>
            <w:r>
              <w:rPr>
                <w:rFonts w:ascii="仿宋_GB2312" w:hAnsi="仿宋_GB2312" w:eastAsia="仿宋_GB2312" w:cs="仿宋_GB2312"/>
                <w:sz w:val="24"/>
                <w:szCs w:val="24"/>
              </w:rPr>
              <w:t>2017</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 xml:space="preserve">26 </w:t>
            </w:r>
            <w:r>
              <w:rPr>
                <w:rFonts w:hint="eastAsia" w:ascii="仿宋_GB2312" w:hAnsi="仿宋_GB2312" w:eastAsia="仿宋_GB2312" w:cs="仿宋_GB2312"/>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关于印发《滕州市环境保护工作网格化监管实施方案》的通知</w:t>
            </w:r>
          </w:p>
        </w:tc>
        <w:tc>
          <w:tcPr>
            <w:tcW w:w="2896" w:type="dxa"/>
            <w:vAlign w:val="center"/>
          </w:tcPr>
          <w:p>
            <w:pPr>
              <w:spacing w:line="380" w:lineRule="exact"/>
              <w:jc w:val="center"/>
              <w:rPr>
                <w:rFonts w:ascii="仿宋_GB2312" w:hAnsi="仿宋_GB2312" w:eastAsia="仿宋_GB2312" w:cs="Times New Roman"/>
                <w:color w:val="000000"/>
                <w:spacing w:val="-4"/>
                <w:sz w:val="24"/>
                <w:szCs w:val="24"/>
              </w:rPr>
            </w:pPr>
            <w:r>
              <w:rPr>
                <w:rFonts w:hint="eastAsia" w:ascii="仿宋_GB2312" w:hAnsi="仿宋_GB2312" w:eastAsia="仿宋_GB2312" w:cs="仿宋_GB2312"/>
                <w:color w:val="000000"/>
                <w:spacing w:val="-4"/>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滕政办发〔</w:t>
            </w:r>
            <w:r>
              <w:rPr>
                <w:rFonts w:ascii="仿宋_GB2312" w:hAnsi="仿宋_GB2312" w:eastAsia="仿宋_GB2312" w:cs="仿宋_GB2312"/>
                <w:sz w:val="24"/>
                <w:szCs w:val="24"/>
              </w:rPr>
              <w:t>2017</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36</w:t>
            </w:r>
            <w:r>
              <w:rPr>
                <w:rFonts w:hint="eastAsia" w:ascii="仿宋_GB2312" w:hAnsi="仿宋_GB2312" w:eastAsia="仿宋_GB2312" w:cs="仿宋_GB2312"/>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关于印发《滕州市环境违法行为有奖举报暂行规定》的通知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sz w:val="24"/>
                <w:szCs w:val="24"/>
              </w:rPr>
            </w:pPr>
            <w:r>
              <w:rPr>
                <w:rFonts w:hint="eastAsia" w:ascii="仿宋_GB2312" w:hAnsi="仿宋_GB2312" w:eastAsia="仿宋_GB2312" w:cs="仿宋_GB2312"/>
                <w:sz w:val="24"/>
                <w:szCs w:val="24"/>
              </w:rPr>
              <w:t>滕政办发〔</w:t>
            </w:r>
            <w:r>
              <w:rPr>
                <w:rFonts w:ascii="仿宋_GB2312" w:hAnsi="仿宋_GB2312" w:eastAsia="仿宋_GB2312" w:cs="仿宋_GB2312"/>
                <w:sz w:val="24"/>
                <w:szCs w:val="24"/>
              </w:rPr>
              <w:t>2017</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38</w:t>
            </w:r>
            <w:r>
              <w:rPr>
                <w:rFonts w:hint="eastAsia" w:ascii="仿宋_GB2312" w:hAnsi="仿宋_GB2312" w:eastAsia="仿宋_GB2312" w:cs="仿宋_GB2312"/>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关于印发《滕州市突发环境污染事件应急预案》的通知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44</w:t>
            </w:r>
            <w:r>
              <w:rPr>
                <w:rFonts w:hint="eastAsia" w:ascii="仿宋_GB2312" w:hAnsi="仿宋_GB2312" w:eastAsia="仿宋_GB2312" w:cs="仿宋_GB2312"/>
                <w:color w:val="000000"/>
                <w:sz w:val="24"/>
                <w:szCs w:val="24"/>
              </w:rPr>
              <w:t>号</w:t>
            </w:r>
          </w:p>
        </w:tc>
        <w:tc>
          <w:tcPr>
            <w:tcW w:w="7273" w:type="dxa"/>
            <w:vAlign w:val="center"/>
          </w:tcPr>
          <w:p>
            <w:pPr>
              <w:jc w:val="left"/>
              <w:rPr>
                <w:rFonts w:ascii="仿宋_GB2312" w:hAnsi="仿宋_GB2312" w:eastAsia="仿宋_GB2312" w:cs="Times New Roman"/>
                <w:sz w:val="24"/>
                <w:szCs w:val="24"/>
              </w:rPr>
            </w:pPr>
            <w:r>
              <w:rPr>
                <w:rFonts w:hint="eastAsia" w:ascii="仿宋_GB2312" w:hAnsi="仿宋_GB2312" w:eastAsia="仿宋_GB2312" w:cs="仿宋_GB2312"/>
                <w:color w:val="000000"/>
                <w:spacing w:val="-1"/>
                <w:sz w:val="24"/>
                <w:szCs w:val="24"/>
              </w:rPr>
              <w:t>滕州市重点项目推进管理办法</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市发改局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50</w:t>
            </w:r>
            <w:r>
              <w:rPr>
                <w:rFonts w:hint="eastAsia" w:ascii="仿宋_GB2312" w:hAnsi="仿宋_GB2312" w:eastAsia="仿宋_GB2312" w:cs="仿宋_GB2312"/>
                <w:color w:val="000000"/>
                <w:sz w:val="24"/>
                <w:szCs w:val="24"/>
              </w:rPr>
              <w:t>号</w:t>
            </w:r>
          </w:p>
        </w:tc>
        <w:tc>
          <w:tcPr>
            <w:tcW w:w="7273" w:type="dxa"/>
            <w:vAlign w:val="center"/>
          </w:tcPr>
          <w:p>
            <w:pPr>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关于印发《滕州市畜禽养殖布局规划方案》的通知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市畜牧局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63</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关于印发《关于推进微型消防站建设的指导意见》的通知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公安局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kern w:val="0"/>
                <w:sz w:val="24"/>
                <w:szCs w:val="24"/>
              </w:rPr>
              <w:t>滕政办发〔</w:t>
            </w:r>
            <w:r>
              <w:rPr>
                <w:rFonts w:ascii="仿宋_GB2312" w:hAnsi="仿宋_GB2312" w:eastAsia="仿宋_GB2312" w:cs="仿宋_GB2312"/>
                <w:color w:val="000000"/>
                <w:kern w:val="0"/>
                <w:sz w:val="24"/>
                <w:szCs w:val="24"/>
              </w:rPr>
              <w:t>2017</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75</w:t>
            </w:r>
            <w:r>
              <w:rPr>
                <w:rFonts w:hint="eastAsia" w:ascii="仿宋_GB2312" w:hAnsi="仿宋_GB2312" w:eastAsia="仿宋_GB2312" w:cs="仿宋_GB2312"/>
                <w:color w:val="000000"/>
                <w:kern w:val="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关于对违法排污企业采取停电（限电）措施及时制止环境危害的通知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widowControl/>
              <w:jc w:val="center"/>
              <w:textAlignment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kern w:val="0"/>
                <w:sz w:val="24"/>
                <w:szCs w:val="24"/>
              </w:rPr>
              <w:t>滕政办发〔</w:t>
            </w:r>
            <w:r>
              <w:rPr>
                <w:rFonts w:ascii="仿宋_GB2312" w:hAnsi="仿宋_GB2312" w:eastAsia="仿宋_GB2312" w:cs="仿宋_GB2312"/>
                <w:color w:val="000000"/>
                <w:kern w:val="0"/>
                <w:sz w:val="24"/>
                <w:szCs w:val="24"/>
              </w:rPr>
              <w:t>2017</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79</w:t>
            </w:r>
            <w:r>
              <w:rPr>
                <w:rFonts w:hint="eastAsia" w:ascii="仿宋_GB2312" w:hAnsi="仿宋_GB2312" w:eastAsia="仿宋_GB2312" w:cs="仿宋_GB2312"/>
                <w:color w:val="000000"/>
                <w:kern w:val="0"/>
                <w:sz w:val="24"/>
                <w:szCs w:val="24"/>
              </w:rPr>
              <w:t>号</w:t>
            </w:r>
          </w:p>
        </w:tc>
        <w:tc>
          <w:tcPr>
            <w:tcW w:w="7273" w:type="dxa"/>
            <w:vAlign w:val="center"/>
          </w:tcPr>
          <w:p>
            <w:pPr>
              <w:widowControl/>
              <w:jc w:val="left"/>
              <w:textAlignment w:val="center"/>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关于印发《滕州市农业大灾保险试点工作方案》的通知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81</w:t>
            </w:r>
            <w:r>
              <w:rPr>
                <w:rFonts w:hint="eastAsia" w:ascii="仿宋_GB2312" w:hAnsi="仿宋_GB2312" w:eastAsia="仿宋_GB2312" w:cs="仿宋_GB2312"/>
                <w:color w:val="000000"/>
                <w:sz w:val="24"/>
                <w:szCs w:val="24"/>
              </w:rPr>
              <w:t>号</w:t>
            </w:r>
          </w:p>
        </w:tc>
        <w:tc>
          <w:tcPr>
            <w:tcW w:w="7273" w:type="dxa"/>
            <w:vAlign w:val="center"/>
          </w:tcPr>
          <w:p>
            <w:pPr>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关于印发《滕州市畜禽养殖粪污处理利用实施方案》的通知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市畜牧局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82</w:t>
            </w:r>
            <w:r>
              <w:rPr>
                <w:rFonts w:hint="eastAsia" w:ascii="仿宋_GB2312" w:hAnsi="仿宋_GB2312" w:eastAsia="仿宋_GB2312" w:cs="仿宋_GB2312"/>
                <w:color w:val="000000"/>
                <w:sz w:val="24"/>
                <w:szCs w:val="24"/>
              </w:rPr>
              <w:t>号</w:t>
            </w:r>
          </w:p>
        </w:tc>
        <w:tc>
          <w:tcPr>
            <w:tcW w:w="7273" w:type="dxa"/>
            <w:vAlign w:val="center"/>
          </w:tcPr>
          <w:p>
            <w:pPr>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w:t>
            </w:r>
            <w:r>
              <w:rPr>
                <w:rFonts w:ascii="仿宋_GB2312" w:hAnsi="仿宋_GB2312" w:eastAsia="仿宋_GB2312" w:cs="仿宋_GB2312"/>
                <w:sz w:val="24"/>
                <w:szCs w:val="24"/>
              </w:rPr>
              <w:t>2017</w:t>
            </w:r>
            <w:r>
              <w:rPr>
                <w:rFonts w:hint="eastAsia" w:ascii="仿宋_GB2312" w:hAnsi="仿宋_GB2312" w:eastAsia="仿宋_GB2312" w:cs="仿宋_GB2312"/>
                <w:sz w:val="24"/>
                <w:szCs w:val="24"/>
              </w:rPr>
              <w:t>年畜禽养殖污染专项整治方案》的通知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市畜牧局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94</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关于印发《滕州市医疗卫生服务体系规划（</w:t>
            </w:r>
            <w:r>
              <w:rPr>
                <w:rFonts w:ascii="仿宋_GB2312" w:hAnsi="仿宋_GB2312" w:eastAsia="仿宋_GB2312" w:cs="仿宋_GB2312"/>
                <w:sz w:val="24"/>
                <w:szCs w:val="24"/>
              </w:rPr>
              <w:t>2016—2020</w:t>
            </w:r>
            <w:r>
              <w:rPr>
                <w:rFonts w:hint="eastAsia" w:ascii="仿宋_GB2312" w:hAnsi="仿宋_GB2312" w:eastAsia="仿宋_GB2312" w:cs="仿宋_GB2312"/>
                <w:sz w:val="24"/>
                <w:szCs w:val="24"/>
              </w:rPr>
              <w:t>）》的通知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98</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关于印发《滕州市土壤污染防治工作方案》的通知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120</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kern w:val="0"/>
                <w:sz w:val="24"/>
                <w:szCs w:val="24"/>
              </w:rPr>
            </w:pPr>
            <w:r>
              <w:rPr>
                <w:rFonts w:hint="eastAsia" w:ascii="仿宋_GB2312" w:hAnsi="仿宋_GB2312" w:eastAsia="仿宋_GB2312" w:cs="仿宋_GB2312"/>
                <w:sz w:val="24"/>
                <w:szCs w:val="24"/>
              </w:rPr>
              <w:t>关于印发《滕州市“散乱污”企业及集群环境综合整治实施方案》的通知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140</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关于印发《滕州市石油天然气储运突发事件应急预案》的通知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146</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关于印发《滕州市非煤矿山生产安全事故应急预案》的通知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市安监局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147</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关于印发《滕州市烟花爆竹生产安全事故应急预案》的通知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市安监局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148</w:t>
            </w:r>
            <w:r>
              <w:rPr>
                <w:rFonts w:hint="eastAsia" w:ascii="仿宋_GB2312" w:hAnsi="仿宋_GB2312" w:eastAsia="仿宋_GB2312" w:cs="仿宋_GB2312"/>
                <w:color w:val="000000"/>
                <w:sz w:val="24"/>
                <w:szCs w:val="24"/>
              </w:rPr>
              <w:t>号</w:t>
            </w:r>
          </w:p>
        </w:tc>
        <w:tc>
          <w:tcPr>
            <w:tcW w:w="7273" w:type="dxa"/>
            <w:vAlign w:val="center"/>
          </w:tcPr>
          <w:p>
            <w:pPr>
              <w:spacing w:line="380" w:lineRule="exac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关于印发《滕州市危险化学品生产安全事故应急预案》的通知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市安监局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172</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关于印发《关于加快全市煤炭经营产业清洁有序发展的实施意见》的通知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市煤炭局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5</w:t>
            </w:r>
            <w:r>
              <w:rPr>
                <w:rFonts w:hint="eastAsia" w:ascii="仿宋_GB2312" w:hAnsi="仿宋_GB2312" w:eastAsia="仿宋_GB2312" w:cs="仿宋_GB2312"/>
                <w:color w:val="000000"/>
                <w:sz w:val="24"/>
                <w:szCs w:val="24"/>
              </w:rPr>
              <w:t>号</w:t>
            </w:r>
          </w:p>
        </w:tc>
        <w:tc>
          <w:tcPr>
            <w:tcW w:w="7273" w:type="dxa"/>
            <w:vAlign w:val="center"/>
          </w:tcPr>
          <w:p>
            <w:pPr>
              <w:spacing w:line="30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关于加快新旧动能转换推进“两全两高”农业机械化发展的意见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6</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关于印发《滕州市医疗纠纷预防与处置办法》的通知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21</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关于完善房地产开发项目选用电梯的通知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34</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关于印发《滕州市城市节水用水管理办法》的通知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市水利局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41</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关于印发《滕州市防震减灾第十三个五年规划》的通知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市地震局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42</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关于印发《滕州市地震应急预案》的通知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市地震局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47</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关于印发《滕州市利用综合标准依法依规推动落后产能退出工作方案》的通知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48</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关于印发《滕州市加快推进畜禽养殖废弃物资源化利用实施方案》的通知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市畜牧局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54</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关于印发《滕州市超标河流整治工作实施方案》的通知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55</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关于印发《滕州市高致病性禽流感应急预案》的通知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市畜牧局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56</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关于印发《滕州市突发动物疫情应急预案》的通知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市畜牧局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57</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关于印发《滕州市第二次全国污染源普查实施方案》的通知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60</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关于印发《滕州市突发事件医疗卫生救援应急预案》的通知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64</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关于建立十三五期间保护发展森林资源目标责任制的通知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市林业局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67</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关于兑现</w:t>
            </w:r>
            <w:r>
              <w:rPr>
                <w:rFonts w:ascii="仿宋_GB2312" w:hAnsi="仿宋_GB2312" w:eastAsia="仿宋_GB2312" w:cs="仿宋_GB2312"/>
                <w:sz w:val="24"/>
                <w:szCs w:val="24"/>
              </w:rPr>
              <w:t>2017</w:t>
            </w:r>
            <w:r>
              <w:rPr>
                <w:rFonts w:hint="eastAsia" w:ascii="仿宋_GB2312" w:hAnsi="仿宋_GB2312" w:eastAsia="仿宋_GB2312" w:cs="仿宋_GB2312"/>
                <w:sz w:val="24"/>
                <w:szCs w:val="24"/>
              </w:rPr>
              <w:t>年度全市工业企业奖励的决定</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68</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关于印发《滕州市</w:t>
            </w:r>
            <w:r>
              <w:rPr>
                <w:rFonts w:ascii="仿宋_GB2312" w:hAnsi="仿宋_GB2312" w:eastAsia="仿宋_GB2312" w:cs="仿宋_GB2312"/>
                <w:color w:val="000000"/>
                <w:kern w:val="0"/>
                <w:sz w:val="24"/>
                <w:szCs w:val="24"/>
              </w:rPr>
              <w:t>2018</w:t>
            </w:r>
            <w:r>
              <w:rPr>
                <w:rFonts w:hint="eastAsia" w:ascii="仿宋_GB2312" w:hAnsi="仿宋_GB2312" w:eastAsia="仿宋_GB2312" w:cs="仿宋_GB2312"/>
                <w:color w:val="000000"/>
                <w:kern w:val="0"/>
                <w:sz w:val="24"/>
                <w:szCs w:val="24"/>
              </w:rPr>
              <w:t>年雨季造林实施方案》的通知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市林业局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41" w:type="dxa"/>
            <w:vAlign w:val="center"/>
          </w:tcPr>
          <w:p>
            <w:pPr>
              <w:numPr>
                <w:ilvl w:val="0"/>
                <w:numId w:val="1"/>
              </w:numPr>
              <w:spacing w:line="380" w:lineRule="exact"/>
              <w:jc w:val="center"/>
              <w:rPr>
                <w:rFonts w:ascii="仿宋_GB2312" w:hAnsi="仿宋_GB2312" w:eastAsia="仿宋_GB2312" w:cs="Times New Roman"/>
                <w:color w:val="000000"/>
                <w:sz w:val="24"/>
                <w:szCs w:val="24"/>
              </w:rPr>
            </w:pPr>
          </w:p>
        </w:tc>
        <w:tc>
          <w:tcPr>
            <w:tcW w:w="2792"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79</w:t>
            </w:r>
            <w:r>
              <w:rPr>
                <w:rFonts w:hint="eastAsia" w:ascii="仿宋_GB2312" w:hAnsi="仿宋_GB2312" w:eastAsia="仿宋_GB2312" w:cs="仿宋_GB2312"/>
                <w:color w:val="000000"/>
                <w:sz w:val="24"/>
                <w:szCs w:val="24"/>
              </w:rPr>
              <w:t>号</w:t>
            </w:r>
          </w:p>
        </w:tc>
        <w:tc>
          <w:tcPr>
            <w:tcW w:w="7273" w:type="dxa"/>
            <w:vAlign w:val="center"/>
          </w:tcPr>
          <w:p>
            <w:pPr>
              <w:spacing w:line="380" w:lineRule="exact"/>
              <w:jc w:val="left"/>
              <w:rPr>
                <w:rFonts w:ascii="仿宋_GB2312" w:hAnsi="仿宋_GB2312" w:eastAsia="仿宋_GB2312" w:cs="Times New Roman"/>
                <w:color w:val="000000"/>
                <w:kern w:val="0"/>
                <w:sz w:val="24"/>
                <w:szCs w:val="24"/>
              </w:rPr>
            </w:pPr>
            <w:r>
              <w:rPr>
                <w:rFonts w:hint="eastAsia" w:ascii="仿宋_GB2312" w:hAnsi="仿宋_GB2312" w:eastAsia="仿宋_GB2312" w:cs="仿宋_GB2312"/>
                <w:sz w:val="24"/>
                <w:szCs w:val="24"/>
              </w:rPr>
              <w:t>关于进一步加强“四上”企业培育入库工作的通知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市统计局</w:t>
            </w:r>
          </w:p>
        </w:tc>
      </w:tr>
    </w:tbl>
    <w:p>
      <w:pPr>
        <w:widowControl/>
        <w:spacing w:line="560" w:lineRule="exact"/>
        <w:ind w:firstLine="320" w:firstLineChars="100"/>
        <w:jc w:val="left"/>
        <w:rPr>
          <w:rFonts w:ascii="黑体" w:hAnsi="黑体" w:eastAsia="黑体" w:cs="Times New Roman"/>
          <w:color w:val="000000"/>
          <w:sz w:val="32"/>
          <w:szCs w:val="32"/>
        </w:rPr>
      </w:pPr>
    </w:p>
    <w:p>
      <w:pPr>
        <w:widowControl/>
        <w:spacing w:line="560" w:lineRule="exact"/>
        <w:ind w:firstLine="320" w:firstLineChars="100"/>
        <w:jc w:val="left"/>
        <w:rPr>
          <w:rFonts w:ascii="黑体" w:hAnsi="黑体" w:eastAsia="黑体" w:cs="Times New Roman"/>
          <w:color w:val="000000"/>
          <w:sz w:val="32"/>
          <w:szCs w:val="32"/>
        </w:rPr>
      </w:pPr>
    </w:p>
    <w:p>
      <w:pPr>
        <w:widowControl/>
        <w:spacing w:line="560" w:lineRule="exact"/>
        <w:ind w:firstLine="320" w:firstLineChars="100"/>
        <w:jc w:val="left"/>
        <w:rPr>
          <w:rFonts w:ascii="黑体" w:hAnsi="黑体" w:eastAsia="黑体" w:cs="Times New Roman"/>
          <w:color w:val="000000"/>
          <w:sz w:val="32"/>
          <w:szCs w:val="32"/>
        </w:rPr>
      </w:pPr>
    </w:p>
    <w:p>
      <w:pPr>
        <w:widowControl/>
        <w:spacing w:line="560" w:lineRule="exact"/>
        <w:ind w:firstLine="320" w:firstLineChars="100"/>
        <w:jc w:val="left"/>
        <w:rPr>
          <w:rFonts w:ascii="黑体" w:hAnsi="黑体" w:eastAsia="黑体" w:cs="Times New Roman"/>
          <w:color w:val="000000"/>
          <w:sz w:val="32"/>
          <w:szCs w:val="32"/>
        </w:rPr>
      </w:pPr>
    </w:p>
    <w:p>
      <w:pPr>
        <w:widowControl/>
        <w:spacing w:line="560" w:lineRule="exact"/>
        <w:ind w:firstLine="320" w:firstLineChars="100"/>
        <w:jc w:val="left"/>
        <w:rPr>
          <w:rFonts w:ascii="黑体" w:hAnsi="黑体" w:eastAsia="黑体" w:cs="Times New Roman"/>
          <w:color w:val="000000"/>
          <w:sz w:val="32"/>
          <w:szCs w:val="32"/>
        </w:rPr>
      </w:pPr>
      <w:r>
        <w:rPr>
          <w:rFonts w:hint="eastAsia" w:ascii="黑体" w:hAnsi="黑体" w:eastAsia="黑体" w:cs="黑体"/>
          <w:color w:val="000000"/>
          <w:sz w:val="32"/>
          <w:szCs w:val="32"/>
        </w:rPr>
        <w:t>二、需要修改的规范性文件目录</w:t>
      </w:r>
    </w:p>
    <w:tbl>
      <w:tblPr>
        <w:tblStyle w:val="6"/>
        <w:tblpPr w:leftFromText="180" w:rightFromText="180" w:vertAnchor="text" w:horzAnchor="page" w:tblpX="1627" w:tblpY="461"/>
        <w:tblOverlap w:val="never"/>
        <w:tblW w:w="136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2790"/>
        <w:gridCol w:w="7275"/>
        <w:gridCol w:w="2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41" w:type="dxa"/>
            <w:vAlign w:val="center"/>
          </w:tcPr>
          <w:p>
            <w:pPr>
              <w:spacing w:line="380" w:lineRule="exact"/>
              <w:jc w:val="center"/>
              <w:rPr>
                <w:rFonts w:ascii="黑体" w:hAnsi="黑体" w:eastAsia="黑体" w:cs="Times New Roman"/>
                <w:color w:val="000000"/>
                <w:sz w:val="24"/>
                <w:szCs w:val="24"/>
              </w:rPr>
            </w:pPr>
            <w:r>
              <w:rPr>
                <w:rFonts w:hint="eastAsia" w:ascii="黑体" w:hAnsi="黑体" w:eastAsia="黑体" w:cs="黑体"/>
                <w:color w:val="000000"/>
                <w:sz w:val="24"/>
                <w:szCs w:val="24"/>
              </w:rPr>
              <w:t>序号</w:t>
            </w:r>
          </w:p>
        </w:tc>
        <w:tc>
          <w:tcPr>
            <w:tcW w:w="2790" w:type="dxa"/>
            <w:vAlign w:val="center"/>
          </w:tcPr>
          <w:p>
            <w:pPr>
              <w:spacing w:line="380" w:lineRule="exact"/>
              <w:jc w:val="center"/>
              <w:rPr>
                <w:rFonts w:ascii="黑体" w:hAnsi="黑体" w:eastAsia="黑体" w:cs="Times New Roman"/>
                <w:color w:val="000000"/>
                <w:sz w:val="24"/>
                <w:szCs w:val="24"/>
              </w:rPr>
            </w:pPr>
            <w:r>
              <w:rPr>
                <w:rFonts w:hint="eastAsia" w:ascii="黑体" w:hAnsi="黑体" w:eastAsia="黑体" w:cs="黑体"/>
                <w:color w:val="000000"/>
                <w:sz w:val="24"/>
                <w:szCs w:val="24"/>
              </w:rPr>
              <w:t>文</w:t>
            </w:r>
            <w:r>
              <w:rPr>
                <w:rFonts w:ascii="黑体" w:hAnsi="黑体" w:eastAsia="黑体" w:cs="黑体"/>
                <w:color w:val="000000"/>
                <w:sz w:val="24"/>
                <w:szCs w:val="24"/>
              </w:rPr>
              <w:t xml:space="preserve">  </w:t>
            </w:r>
            <w:r>
              <w:rPr>
                <w:rFonts w:hint="eastAsia" w:ascii="黑体" w:hAnsi="黑体" w:eastAsia="黑体" w:cs="黑体"/>
                <w:color w:val="000000"/>
                <w:sz w:val="24"/>
                <w:szCs w:val="24"/>
              </w:rPr>
              <w:t>号</w:t>
            </w:r>
          </w:p>
        </w:tc>
        <w:tc>
          <w:tcPr>
            <w:tcW w:w="7275" w:type="dxa"/>
            <w:vAlign w:val="center"/>
          </w:tcPr>
          <w:p>
            <w:pPr>
              <w:spacing w:line="380" w:lineRule="exact"/>
              <w:jc w:val="center"/>
              <w:rPr>
                <w:rFonts w:ascii="黑体" w:hAnsi="黑体" w:eastAsia="黑体" w:cs="Times New Roman"/>
                <w:color w:val="000000"/>
                <w:sz w:val="24"/>
                <w:szCs w:val="24"/>
              </w:rPr>
            </w:pPr>
            <w:r>
              <w:rPr>
                <w:rFonts w:hint="eastAsia" w:ascii="黑体" w:hAnsi="黑体" w:eastAsia="黑体" w:cs="黑体"/>
                <w:color w:val="000000"/>
                <w:sz w:val="24"/>
                <w:szCs w:val="24"/>
              </w:rPr>
              <w:t>文</w:t>
            </w:r>
            <w:r>
              <w:rPr>
                <w:rFonts w:ascii="黑体" w:hAnsi="黑体" w:eastAsia="黑体" w:cs="黑体"/>
                <w:color w:val="000000"/>
                <w:sz w:val="24"/>
                <w:szCs w:val="24"/>
              </w:rPr>
              <w:t xml:space="preserve"> </w:t>
            </w:r>
            <w:r>
              <w:rPr>
                <w:rFonts w:hint="eastAsia" w:ascii="黑体" w:hAnsi="黑体" w:eastAsia="黑体" w:cs="黑体"/>
                <w:color w:val="000000"/>
                <w:sz w:val="24"/>
                <w:szCs w:val="24"/>
              </w:rPr>
              <w:t>件</w:t>
            </w:r>
            <w:r>
              <w:rPr>
                <w:rFonts w:ascii="黑体" w:hAnsi="黑体" w:eastAsia="黑体" w:cs="黑体"/>
                <w:color w:val="000000"/>
                <w:sz w:val="24"/>
                <w:szCs w:val="24"/>
              </w:rPr>
              <w:t xml:space="preserve"> </w:t>
            </w:r>
            <w:r>
              <w:rPr>
                <w:rFonts w:hint="eastAsia" w:ascii="黑体" w:hAnsi="黑体" w:eastAsia="黑体" w:cs="黑体"/>
                <w:color w:val="000000"/>
                <w:sz w:val="24"/>
                <w:szCs w:val="24"/>
              </w:rPr>
              <w:t>名</w:t>
            </w:r>
            <w:r>
              <w:rPr>
                <w:rFonts w:ascii="黑体" w:hAnsi="黑体" w:eastAsia="黑体" w:cs="黑体"/>
                <w:color w:val="000000"/>
                <w:sz w:val="24"/>
                <w:szCs w:val="24"/>
              </w:rPr>
              <w:t xml:space="preserve"> </w:t>
            </w:r>
            <w:r>
              <w:rPr>
                <w:rFonts w:hint="eastAsia" w:ascii="黑体" w:hAnsi="黑体" w:eastAsia="黑体" w:cs="黑体"/>
                <w:color w:val="000000"/>
                <w:sz w:val="24"/>
                <w:szCs w:val="24"/>
              </w:rPr>
              <w:t>称</w:t>
            </w:r>
          </w:p>
        </w:tc>
        <w:tc>
          <w:tcPr>
            <w:tcW w:w="2896" w:type="dxa"/>
            <w:vAlign w:val="center"/>
          </w:tcPr>
          <w:p>
            <w:pPr>
              <w:spacing w:line="380" w:lineRule="exact"/>
              <w:jc w:val="center"/>
              <w:rPr>
                <w:rFonts w:ascii="黑体" w:hAnsi="黑体" w:eastAsia="黑体" w:cs="Times New Roman"/>
                <w:color w:val="000000"/>
                <w:sz w:val="24"/>
                <w:szCs w:val="24"/>
              </w:rPr>
            </w:pPr>
            <w:r>
              <w:rPr>
                <w:rFonts w:hint="eastAsia" w:ascii="黑体" w:hAnsi="黑体" w:eastAsia="黑体" w:cs="黑体"/>
                <w:color w:val="000000"/>
                <w:sz w:val="24"/>
                <w:szCs w:val="24"/>
              </w:rPr>
              <w:t>起草单位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641" w:type="dxa"/>
            <w:vAlign w:val="center"/>
          </w:tcPr>
          <w:p>
            <w:pPr>
              <w:spacing w:line="380" w:lineRule="exact"/>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w:t>
            </w: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2003</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37</w:t>
            </w:r>
            <w:r>
              <w:rPr>
                <w:rFonts w:hint="eastAsia" w:ascii="仿宋_GB2312" w:hAnsi="仿宋_GB2312" w:eastAsia="仿宋_GB2312" w:cs="仿宋_GB2312"/>
                <w:color w:val="000000"/>
                <w:sz w:val="24"/>
                <w:szCs w:val="24"/>
              </w:rPr>
              <w:t>号</w:t>
            </w:r>
          </w:p>
        </w:tc>
        <w:tc>
          <w:tcPr>
            <w:tcW w:w="7275" w:type="dxa"/>
          </w:tcPr>
          <w:p>
            <w:pPr>
              <w:spacing w:line="380" w:lineRule="exact"/>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关于印发《市国有资产经营性收入收缴管理意见》的通知</w:t>
            </w:r>
            <w:r>
              <w:rPr>
                <w:rFonts w:ascii="仿宋_GB2312" w:hAnsi="仿宋_GB2312" w:eastAsia="仿宋_GB2312" w:cs="仿宋_GB2312"/>
                <w:sz w:val="24"/>
                <w:szCs w:val="24"/>
              </w:rPr>
              <w:t xml:space="preserve">    </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市财政局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1" w:type="dxa"/>
            <w:vAlign w:val="center"/>
          </w:tcPr>
          <w:p>
            <w:pPr>
              <w:spacing w:line="380" w:lineRule="exact"/>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2</w:t>
            </w: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2007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54</w:t>
            </w:r>
            <w:r>
              <w:rPr>
                <w:rFonts w:hint="eastAsia" w:ascii="仿宋_GB2312" w:hAnsi="仿宋_GB2312" w:eastAsia="仿宋_GB2312" w:cs="仿宋_GB2312"/>
                <w:color w:val="000000"/>
                <w:sz w:val="24"/>
                <w:szCs w:val="24"/>
              </w:rPr>
              <w:t>号</w:t>
            </w:r>
          </w:p>
        </w:tc>
        <w:tc>
          <w:tcPr>
            <w:tcW w:w="7275"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关于加强国有资产监督管理的意见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市财政局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1" w:type="dxa"/>
            <w:vAlign w:val="center"/>
          </w:tcPr>
          <w:p>
            <w:pPr>
              <w:spacing w:line="380" w:lineRule="exact"/>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3</w:t>
            </w: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2009</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133</w:t>
            </w:r>
            <w:r>
              <w:rPr>
                <w:rFonts w:hint="eastAsia" w:ascii="仿宋_GB2312" w:hAnsi="仿宋_GB2312" w:eastAsia="仿宋_GB2312" w:cs="仿宋_GB2312"/>
                <w:color w:val="000000"/>
                <w:sz w:val="24"/>
                <w:szCs w:val="24"/>
              </w:rPr>
              <w:t>号</w:t>
            </w:r>
          </w:p>
        </w:tc>
        <w:tc>
          <w:tcPr>
            <w:tcW w:w="7275"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关于印发《微山湖湿地红荷旅游风景区管理暂行办法》的通知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微山湖湿地管委会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1" w:type="dxa"/>
            <w:vAlign w:val="center"/>
          </w:tcPr>
          <w:p>
            <w:pPr>
              <w:spacing w:line="380" w:lineRule="exact"/>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4</w:t>
            </w: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2014</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4</w:t>
            </w:r>
            <w:r>
              <w:rPr>
                <w:rFonts w:hint="eastAsia" w:ascii="仿宋_GB2312" w:hAnsi="仿宋_GB2312" w:eastAsia="仿宋_GB2312" w:cs="仿宋_GB2312"/>
                <w:color w:val="000000"/>
                <w:sz w:val="24"/>
                <w:szCs w:val="24"/>
              </w:rPr>
              <w:t>号</w:t>
            </w:r>
          </w:p>
        </w:tc>
        <w:tc>
          <w:tcPr>
            <w:tcW w:w="7275"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关于印发《滕州市城市规划管理技术规定（试行）》的通知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41" w:type="dxa"/>
            <w:vAlign w:val="center"/>
          </w:tcPr>
          <w:p>
            <w:pPr>
              <w:spacing w:line="380" w:lineRule="exact"/>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5</w:t>
            </w: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62</w:t>
            </w:r>
            <w:r>
              <w:rPr>
                <w:rFonts w:hint="eastAsia" w:ascii="仿宋_GB2312" w:hAnsi="仿宋_GB2312" w:eastAsia="仿宋_GB2312" w:cs="仿宋_GB2312"/>
                <w:color w:val="000000"/>
                <w:sz w:val="24"/>
                <w:szCs w:val="24"/>
              </w:rPr>
              <w:t>号</w:t>
            </w:r>
          </w:p>
        </w:tc>
        <w:tc>
          <w:tcPr>
            <w:tcW w:w="7275"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关于印发《关于加快推进采煤塌陷地综合治理的实施意见》的通知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市煤炭局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41" w:type="dxa"/>
            <w:vAlign w:val="center"/>
          </w:tcPr>
          <w:p>
            <w:pPr>
              <w:spacing w:line="380" w:lineRule="exact"/>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6</w:t>
            </w: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6"/>
                <w:sz w:val="24"/>
                <w:szCs w:val="24"/>
              </w:rPr>
              <w:t>滕政办发〔</w:t>
            </w:r>
            <w:r>
              <w:rPr>
                <w:rFonts w:ascii="仿宋_GB2312" w:hAnsi="仿宋_GB2312" w:eastAsia="仿宋_GB2312" w:cs="仿宋_GB2312"/>
                <w:color w:val="000000"/>
                <w:spacing w:val="-6"/>
                <w:sz w:val="24"/>
                <w:szCs w:val="24"/>
              </w:rPr>
              <w:t>2011</w:t>
            </w:r>
            <w:r>
              <w:rPr>
                <w:rFonts w:hint="eastAsia" w:ascii="仿宋_GB2312" w:hAnsi="仿宋_GB2312" w:eastAsia="仿宋_GB2312" w:cs="仿宋_GB2312"/>
                <w:color w:val="000000"/>
                <w:spacing w:val="-6"/>
                <w:sz w:val="24"/>
                <w:szCs w:val="24"/>
              </w:rPr>
              <w:t>〕</w:t>
            </w:r>
            <w:r>
              <w:rPr>
                <w:rFonts w:ascii="仿宋_GB2312" w:hAnsi="仿宋_GB2312" w:eastAsia="仿宋_GB2312" w:cs="仿宋_GB2312"/>
                <w:color w:val="000000"/>
                <w:spacing w:val="-6"/>
                <w:sz w:val="24"/>
                <w:szCs w:val="24"/>
              </w:rPr>
              <w:t>129</w:t>
            </w:r>
            <w:r>
              <w:rPr>
                <w:rFonts w:hint="eastAsia" w:ascii="仿宋_GB2312" w:hAnsi="仿宋_GB2312" w:eastAsia="仿宋_GB2312" w:cs="仿宋_GB2312"/>
                <w:color w:val="000000"/>
                <w:spacing w:val="-6"/>
                <w:sz w:val="24"/>
                <w:szCs w:val="24"/>
              </w:rPr>
              <w:t>号</w:t>
            </w:r>
          </w:p>
        </w:tc>
        <w:tc>
          <w:tcPr>
            <w:tcW w:w="7275" w:type="dxa"/>
            <w:vAlign w:val="center"/>
          </w:tcPr>
          <w:p>
            <w:pPr>
              <w:spacing w:line="380" w:lineRule="exac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关于印发《</w:t>
            </w:r>
            <w:r>
              <w:rPr>
                <w:rFonts w:ascii="仿宋_GB2312" w:hAnsi="仿宋_GB2312" w:eastAsia="仿宋_GB2312" w:cs="仿宋_GB2312"/>
                <w:color w:val="000000"/>
                <w:sz w:val="24"/>
                <w:szCs w:val="24"/>
              </w:rPr>
              <w:t>&lt;</w:t>
            </w:r>
            <w:r>
              <w:rPr>
                <w:rFonts w:hint="eastAsia" w:ascii="仿宋_GB2312" w:hAnsi="仿宋_GB2312" w:eastAsia="仿宋_GB2312" w:cs="仿宋_GB2312"/>
                <w:color w:val="000000"/>
                <w:sz w:val="24"/>
                <w:szCs w:val="24"/>
              </w:rPr>
              <w:t>固定资产投资项目节能评估和审查暂行办法</w:t>
            </w:r>
            <w:r>
              <w:rPr>
                <w:rFonts w:ascii="仿宋_GB2312" w:hAnsi="仿宋_GB2312" w:eastAsia="仿宋_GB2312" w:cs="仿宋_GB2312"/>
                <w:color w:val="000000"/>
                <w:sz w:val="24"/>
                <w:szCs w:val="24"/>
              </w:rPr>
              <w:t>&gt;</w:t>
            </w:r>
            <w:r>
              <w:rPr>
                <w:rFonts w:hint="eastAsia" w:ascii="仿宋_GB2312" w:hAnsi="仿宋_GB2312" w:eastAsia="仿宋_GB2312" w:cs="仿宋_GB2312"/>
                <w:color w:val="000000"/>
                <w:sz w:val="24"/>
                <w:szCs w:val="24"/>
              </w:rPr>
              <w:t>实施细则（试行）》的通知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市发改局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41" w:type="dxa"/>
            <w:vAlign w:val="center"/>
          </w:tcPr>
          <w:p>
            <w:pPr>
              <w:spacing w:line="380" w:lineRule="exact"/>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7</w:t>
            </w: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2013</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82</w:t>
            </w:r>
            <w:r>
              <w:rPr>
                <w:rFonts w:hint="eastAsia" w:ascii="仿宋_GB2312" w:hAnsi="仿宋_GB2312" w:eastAsia="仿宋_GB2312" w:cs="仿宋_GB2312"/>
                <w:color w:val="000000"/>
                <w:sz w:val="24"/>
                <w:szCs w:val="24"/>
              </w:rPr>
              <w:t>号</w:t>
            </w:r>
          </w:p>
        </w:tc>
        <w:tc>
          <w:tcPr>
            <w:tcW w:w="7275"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kern w:val="0"/>
                <w:sz w:val="24"/>
                <w:szCs w:val="24"/>
              </w:rPr>
              <w:t>关于印发《滕州市森林火灾事故应急救援预案》的通知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市林业局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641" w:type="dxa"/>
            <w:vAlign w:val="center"/>
          </w:tcPr>
          <w:p>
            <w:pPr>
              <w:spacing w:line="380" w:lineRule="exact"/>
              <w:jc w:val="center"/>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8</w:t>
            </w: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滕政办发</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sz w:val="24"/>
                <w:szCs w:val="24"/>
              </w:rPr>
              <w:t>68</w:t>
            </w:r>
            <w:r>
              <w:rPr>
                <w:rFonts w:hint="eastAsia" w:ascii="仿宋_GB2312" w:hAnsi="仿宋_GB2312" w:eastAsia="仿宋_GB2312" w:cs="仿宋_GB2312"/>
                <w:sz w:val="24"/>
                <w:szCs w:val="24"/>
              </w:rPr>
              <w:t>号</w:t>
            </w:r>
          </w:p>
        </w:tc>
        <w:tc>
          <w:tcPr>
            <w:tcW w:w="7275" w:type="dxa"/>
          </w:tcPr>
          <w:p>
            <w:pPr>
              <w:spacing w:line="380" w:lineRule="exact"/>
              <w:rPr>
                <w:rFonts w:ascii="仿宋_GB2312" w:hAnsi="仿宋_GB2312" w:eastAsia="仿宋_GB2312" w:cs="Times New Roman"/>
                <w:color w:val="000000"/>
                <w:sz w:val="24"/>
                <w:szCs w:val="24"/>
              </w:rPr>
            </w:pPr>
            <w:r>
              <w:rPr>
                <w:rFonts w:hint="eastAsia" w:ascii="仿宋_GB2312" w:hAnsi="仿宋_GB2312" w:eastAsia="仿宋_GB2312" w:cs="仿宋_GB2312"/>
                <w:color w:val="000000"/>
                <w:kern w:val="0"/>
                <w:sz w:val="24"/>
                <w:szCs w:val="24"/>
              </w:rPr>
              <w:t>关于印发《滕州市林地经营权流转证发证管理办法（试行）》的通知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市林业局</w:t>
            </w:r>
          </w:p>
        </w:tc>
      </w:tr>
    </w:tbl>
    <w:p>
      <w:pPr>
        <w:widowControl/>
        <w:spacing w:line="560" w:lineRule="exact"/>
        <w:ind w:firstLine="240" w:firstLineChars="100"/>
        <w:jc w:val="left"/>
        <w:rPr>
          <w:rFonts w:ascii="仿宋_GB2312" w:hAnsi="仿宋_GB2312" w:eastAsia="仿宋_GB2312" w:cs="Times New Roman"/>
          <w:color w:val="000000"/>
          <w:sz w:val="24"/>
          <w:szCs w:val="24"/>
        </w:rPr>
      </w:pPr>
    </w:p>
    <w:p>
      <w:pPr>
        <w:widowControl/>
        <w:spacing w:line="560" w:lineRule="exact"/>
        <w:ind w:firstLine="320" w:firstLineChars="100"/>
        <w:jc w:val="left"/>
        <w:rPr>
          <w:rFonts w:ascii="黑体" w:hAnsi="黑体" w:eastAsia="黑体" w:cs="Times New Roman"/>
          <w:color w:val="000000"/>
          <w:sz w:val="32"/>
          <w:szCs w:val="32"/>
        </w:rPr>
      </w:pPr>
    </w:p>
    <w:p>
      <w:pPr>
        <w:widowControl/>
        <w:spacing w:line="560" w:lineRule="exact"/>
        <w:ind w:firstLine="320" w:firstLineChars="100"/>
        <w:jc w:val="left"/>
        <w:rPr>
          <w:rFonts w:ascii="黑体" w:hAnsi="黑体" w:eastAsia="黑体" w:cs="Times New Roman"/>
          <w:color w:val="000000"/>
          <w:sz w:val="32"/>
          <w:szCs w:val="32"/>
        </w:rPr>
      </w:pPr>
    </w:p>
    <w:p>
      <w:pPr>
        <w:widowControl/>
        <w:spacing w:line="560" w:lineRule="exact"/>
        <w:ind w:firstLine="320" w:firstLineChars="100"/>
        <w:jc w:val="left"/>
        <w:rPr>
          <w:rFonts w:ascii="黑体" w:hAnsi="黑体" w:eastAsia="黑体" w:cs="Times New Roman"/>
          <w:color w:val="000000"/>
          <w:sz w:val="32"/>
          <w:szCs w:val="32"/>
        </w:rPr>
      </w:pPr>
    </w:p>
    <w:p>
      <w:pPr>
        <w:widowControl/>
        <w:spacing w:line="560" w:lineRule="exact"/>
        <w:ind w:firstLine="320" w:firstLineChars="100"/>
        <w:jc w:val="left"/>
        <w:rPr>
          <w:rFonts w:ascii="黑体" w:hAnsi="黑体" w:eastAsia="黑体" w:cs="Times New Roman"/>
          <w:color w:val="000000"/>
          <w:sz w:val="32"/>
          <w:szCs w:val="32"/>
        </w:rPr>
      </w:pPr>
      <w:r>
        <w:rPr>
          <w:rFonts w:hint="eastAsia" w:ascii="黑体" w:hAnsi="黑体" w:eastAsia="黑体" w:cs="黑体"/>
          <w:color w:val="000000"/>
          <w:sz w:val="32"/>
          <w:szCs w:val="32"/>
        </w:rPr>
        <w:t>三、宣布废止和失效的规范性文件目录</w:t>
      </w:r>
    </w:p>
    <w:tbl>
      <w:tblPr>
        <w:tblStyle w:val="6"/>
        <w:tblW w:w="13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2790"/>
        <w:gridCol w:w="7275"/>
        <w:gridCol w:w="2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19" w:type="dxa"/>
            <w:vAlign w:val="center"/>
          </w:tcPr>
          <w:p>
            <w:pPr>
              <w:spacing w:line="380" w:lineRule="exact"/>
              <w:jc w:val="center"/>
              <w:rPr>
                <w:rFonts w:ascii="黑体" w:hAnsi="黑体" w:eastAsia="黑体" w:cs="Times New Roman"/>
                <w:color w:val="000000"/>
                <w:sz w:val="24"/>
                <w:szCs w:val="24"/>
              </w:rPr>
            </w:pPr>
            <w:r>
              <w:rPr>
                <w:rFonts w:hint="eastAsia" w:ascii="黑体" w:hAnsi="黑体" w:eastAsia="黑体" w:cs="黑体"/>
                <w:color w:val="000000"/>
                <w:sz w:val="24"/>
                <w:szCs w:val="24"/>
              </w:rPr>
              <w:t>序号</w:t>
            </w:r>
          </w:p>
        </w:tc>
        <w:tc>
          <w:tcPr>
            <w:tcW w:w="2790" w:type="dxa"/>
            <w:vAlign w:val="center"/>
          </w:tcPr>
          <w:p>
            <w:pPr>
              <w:spacing w:line="380" w:lineRule="exact"/>
              <w:jc w:val="center"/>
              <w:rPr>
                <w:rFonts w:ascii="黑体" w:hAnsi="黑体" w:eastAsia="黑体" w:cs="Times New Roman"/>
                <w:color w:val="000000"/>
                <w:sz w:val="24"/>
                <w:szCs w:val="24"/>
              </w:rPr>
            </w:pPr>
            <w:r>
              <w:rPr>
                <w:rFonts w:hint="eastAsia" w:ascii="黑体" w:hAnsi="黑体" w:eastAsia="黑体" w:cs="黑体"/>
                <w:color w:val="000000"/>
                <w:sz w:val="24"/>
                <w:szCs w:val="24"/>
              </w:rPr>
              <w:t>文</w:t>
            </w:r>
            <w:r>
              <w:rPr>
                <w:rFonts w:ascii="黑体" w:hAnsi="黑体" w:eastAsia="黑体" w:cs="黑体"/>
                <w:color w:val="000000"/>
                <w:sz w:val="24"/>
                <w:szCs w:val="24"/>
              </w:rPr>
              <w:t xml:space="preserve">  </w:t>
            </w:r>
            <w:r>
              <w:rPr>
                <w:rFonts w:hint="eastAsia" w:ascii="黑体" w:hAnsi="黑体" w:eastAsia="黑体" w:cs="黑体"/>
                <w:color w:val="000000"/>
                <w:sz w:val="24"/>
                <w:szCs w:val="24"/>
              </w:rPr>
              <w:t>号</w:t>
            </w:r>
          </w:p>
        </w:tc>
        <w:tc>
          <w:tcPr>
            <w:tcW w:w="7275" w:type="dxa"/>
            <w:vAlign w:val="center"/>
          </w:tcPr>
          <w:p>
            <w:pPr>
              <w:spacing w:line="380" w:lineRule="exact"/>
              <w:jc w:val="center"/>
              <w:rPr>
                <w:rFonts w:ascii="黑体" w:hAnsi="黑体" w:eastAsia="黑体" w:cs="Times New Roman"/>
                <w:color w:val="000000"/>
                <w:sz w:val="24"/>
                <w:szCs w:val="24"/>
              </w:rPr>
            </w:pPr>
            <w:r>
              <w:rPr>
                <w:rFonts w:hint="eastAsia" w:ascii="黑体" w:hAnsi="黑体" w:eastAsia="黑体" w:cs="黑体"/>
                <w:color w:val="000000"/>
                <w:sz w:val="24"/>
                <w:szCs w:val="24"/>
              </w:rPr>
              <w:t>文</w:t>
            </w:r>
            <w:r>
              <w:rPr>
                <w:rFonts w:ascii="黑体" w:hAnsi="黑体" w:eastAsia="黑体" w:cs="黑体"/>
                <w:color w:val="000000"/>
                <w:sz w:val="24"/>
                <w:szCs w:val="24"/>
              </w:rPr>
              <w:t xml:space="preserve"> </w:t>
            </w:r>
            <w:r>
              <w:rPr>
                <w:rFonts w:hint="eastAsia" w:ascii="黑体" w:hAnsi="黑体" w:eastAsia="黑体" w:cs="黑体"/>
                <w:color w:val="000000"/>
                <w:sz w:val="24"/>
                <w:szCs w:val="24"/>
              </w:rPr>
              <w:t>件</w:t>
            </w:r>
            <w:r>
              <w:rPr>
                <w:rFonts w:ascii="黑体" w:hAnsi="黑体" w:eastAsia="黑体" w:cs="黑体"/>
                <w:color w:val="000000"/>
                <w:sz w:val="24"/>
                <w:szCs w:val="24"/>
              </w:rPr>
              <w:t xml:space="preserve"> </w:t>
            </w:r>
            <w:r>
              <w:rPr>
                <w:rFonts w:hint="eastAsia" w:ascii="黑体" w:hAnsi="黑体" w:eastAsia="黑体" w:cs="黑体"/>
                <w:color w:val="000000"/>
                <w:sz w:val="24"/>
                <w:szCs w:val="24"/>
              </w:rPr>
              <w:t>名</w:t>
            </w:r>
            <w:r>
              <w:rPr>
                <w:rFonts w:ascii="黑体" w:hAnsi="黑体" w:eastAsia="黑体" w:cs="黑体"/>
                <w:color w:val="000000"/>
                <w:sz w:val="24"/>
                <w:szCs w:val="24"/>
              </w:rPr>
              <w:t xml:space="preserve"> </w:t>
            </w:r>
            <w:r>
              <w:rPr>
                <w:rFonts w:hint="eastAsia" w:ascii="黑体" w:hAnsi="黑体" w:eastAsia="黑体" w:cs="黑体"/>
                <w:color w:val="000000"/>
                <w:sz w:val="24"/>
                <w:szCs w:val="24"/>
              </w:rPr>
              <w:t>称</w:t>
            </w:r>
          </w:p>
        </w:tc>
        <w:tc>
          <w:tcPr>
            <w:tcW w:w="2896" w:type="dxa"/>
            <w:vAlign w:val="center"/>
          </w:tcPr>
          <w:p>
            <w:pPr>
              <w:spacing w:line="380" w:lineRule="exact"/>
              <w:jc w:val="center"/>
              <w:rPr>
                <w:rFonts w:ascii="黑体" w:hAnsi="黑体" w:eastAsia="黑体" w:cs="Times New Roman"/>
                <w:color w:val="000000"/>
                <w:sz w:val="24"/>
                <w:szCs w:val="24"/>
              </w:rPr>
            </w:pPr>
            <w:r>
              <w:rPr>
                <w:rFonts w:hint="eastAsia" w:ascii="黑体" w:hAnsi="黑体" w:eastAsia="黑体" w:cs="黑体"/>
                <w:color w:val="000000"/>
                <w:sz w:val="24"/>
                <w:szCs w:val="24"/>
              </w:rPr>
              <w:t>起草单位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2002</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68</w:t>
            </w:r>
            <w:r>
              <w:rPr>
                <w:rFonts w:hint="eastAsia" w:ascii="仿宋_GB2312" w:hAnsi="仿宋_GB2312" w:eastAsia="仿宋_GB2312" w:cs="仿宋_GB2312"/>
                <w:color w:val="000000"/>
                <w:sz w:val="24"/>
                <w:szCs w:val="24"/>
              </w:rPr>
              <w:t>号</w:t>
            </w:r>
          </w:p>
        </w:tc>
        <w:tc>
          <w:tcPr>
            <w:tcW w:w="7275" w:type="dxa"/>
            <w:vAlign w:val="center"/>
          </w:tcPr>
          <w:p>
            <w:pPr>
              <w:spacing w:line="380" w:lineRule="exact"/>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关于滕州市林果产业化工作意见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市林业局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2005</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56</w:t>
            </w:r>
            <w:r>
              <w:rPr>
                <w:rFonts w:hint="eastAsia" w:ascii="仿宋_GB2312" w:hAnsi="仿宋_GB2312" w:eastAsia="仿宋_GB2312" w:cs="仿宋_GB2312"/>
                <w:color w:val="000000"/>
                <w:sz w:val="24"/>
                <w:szCs w:val="24"/>
              </w:rPr>
              <w:t>号</w:t>
            </w:r>
          </w:p>
        </w:tc>
        <w:tc>
          <w:tcPr>
            <w:tcW w:w="7275" w:type="dxa"/>
            <w:vAlign w:val="center"/>
          </w:tcPr>
          <w:p>
            <w:pPr>
              <w:spacing w:line="380" w:lineRule="exac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关于进一步加强社会保险费征缴工作的意见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ascii="仿宋_GB2312" w:hAnsi="仿宋_GB2312" w:eastAsia="仿宋_GB2312" w:cs="仿宋_GB2312"/>
                <w:color w:val="000000"/>
                <w:sz w:val="24"/>
                <w:szCs w:val="24"/>
              </w:rPr>
              <w:t>2006</w:t>
            </w:r>
            <w:r>
              <w:rPr>
                <w:rFonts w:hint="eastAsia" w:ascii="仿宋_GB2312" w:hAnsi="仿宋_GB2312" w:eastAsia="仿宋_GB2312" w:cs="仿宋_GB2312"/>
                <w:color w:val="000000"/>
                <w:sz w:val="24"/>
                <w:szCs w:val="24"/>
              </w:rPr>
              <w:t>年滕州市人民政府令第</w:t>
            </w:r>
            <w:r>
              <w:rPr>
                <w:rFonts w:ascii="仿宋_GB2312" w:hAnsi="仿宋_GB2312" w:eastAsia="仿宋_GB2312" w:cs="仿宋_GB2312"/>
                <w:color w:val="000000"/>
                <w:sz w:val="24"/>
                <w:szCs w:val="24"/>
              </w:rPr>
              <w:t>6</w:t>
            </w:r>
            <w:r>
              <w:rPr>
                <w:rFonts w:hint="eastAsia" w:ascii="仿宋_GB2312" w:hAnsi="仿宋_GB2312" w:eastAsia="仿宋_GB2312" w:cs="仿宋_GB2312"/>
                <w:color w:val="000000"/>
                <w:sz w:val="24"/>
                <w:szCs w:val="24"/>
              </w:rPr>
              <w:t>号</w:t>
            </w:r>
          </w:p>
        </w:tc>
        <w:tc>
          <w:tcPr>
            <w:tcW w:w="7275" w:type="dxa"/>
            <w:vAlign w:val="center"/>
          </w:tcPr>
          <w:p>
            <w:pPr>
              <w:spacing w:line="380" w:lineRule="exact"/>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滕州市科学技术奖励办法</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市科技局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2007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98</w:t>
            </w:r>
            <w:r>
              <w:rPr>
                <w:rFonts w:hint="eastAsia" w:ascii="仿宋_GB2312" w:hAnsi="仿宋_GB2312" w:eastAsia="仿宋_GB2312" w:cs="仿宋_GB2312"/>
                <w:color w:val="000000"/>
                <w:sz w:val="24"/>
                <w:szCs w:val="24"/>
              </w:rPr>
              <w:t>号</w:t>
            </w:r>
          </w:p>
        </w:tc>
        <w:tc>
          <w:tcPr>
            <w:tcW w:w="7275" w:type="dxa"/>
          </w:tcPr>
          <w:p>
            <w:pPr>
              <w:spacing w:line="380" w:lineRule="exact"/>
              <w:jc w:val="left"/>
              <w:rPr>
                <w:rFonts w:ascii="仿宋_GB2312" w:hAnsi="仿宋_GB2312" w:eastAsia="仿宋_GB2312" w:cs="Times New Roman"/>
                <w:color w:val="000000"/>
                <w:spacing w:val="-4"/>
                <w:sz w:val="24"/>
                <w:szCs w:val="24"/>
              </w:rPr>
            </w:pPr>
            <w:r>
              <w:rPr>
                <w:rFonts w:hint="eastAsia" w:ascii="仿宋_GB2312" w:hAnsi="仿宋_GB2312" w:eastAsia="仿宋_GB2312" w:cs="仿宋_GB2312"/>
                <w:sz w:val="24"/>
                <w:szCs w:val="24"/>
              </w:rPr>
              <w:t>关于加快建筑业改革和发展的意见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市建工局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2008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29</w:t>
            </w:r>
            <w:r>
              <w:rPr>
                <w:rFonts w:hint="eastAsia" w:ascii="仿宋_GB2312" w:hAnsi="仿宋_GB2312" w:eastAsia="仿宋_GB2312" w:cs="仿宋_GB2312"/>
                <w:color w:val="000000"/>
                <w:sz w:val="24"/>
                <w:szCs w:val="24"/>
              </w:rPr>
              <w:t>号</w:t>
            </w:r>
          </w:p>
        </w:tc>
        <w:tc>
          <w:tcPr>
            <w:tcW w:w="7275" w:type="dxa"/>
          </w:tcPr>
          <w:p>
            <w:pPr>
              <w:spacing w:line="380" w:lineRule="exact"/>
              <w:jc w:val="left"/>
              <w:rPr>
                <w:rFonts w:ascii="仿宋_GB2312" w:hAnsi="仿宋_GB2312" w:eastAsia="仿宋_GB2312" w:cs="Times New Roman"/>
                <w:color w:val="000000"/>
                <w:sz w:val="24"/>
                <w:szCs w:val="24"/>
              </w:rPr>
            </w:pPr>
            <w:r>
              <w:rPr>
                <w:rFonts w:hint="eastAsia" w:ascii="仿宋_GB2312" w:hAnsi="仿宋_GB2312" w:eastAsia="仿宋_GB2312" w:cs="仿宋_GB2312"/>
                <w:color w:val="000000"/>
                <w:spacing w:val="-4"/>
                <w:sz w:val="24"/>
                <w:szCs w:val="24"/>
              </w:rPr>
              <w:t>关于印发《滕州市生产安全事故隐患排查治理办法》的通知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市安监局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2008</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117</w:t>
            </w:r>
            <w:r>
              <w:rPr>
                <w:rFonts w:hint="eastAsia" w:ascii="仿宋_GB2312" w:hAnsi="仿宋_GB2312" w:eastAsia="仿宋_GB2312" w:cs="仿宋_GB2312"/>
                <w:color w:val="000000"/>
                <w:sz w:val="24"/>
                <w:szCs w:val="24"/>
              </w:rPr>
              <w:t>号</w:t>
            </w:r>
          </w:p>
        </w:tc>
        <w:tc>
          <w:tcPr>
            <w:tcW w:w="7275" w:type="dxa"/>
          </w:tcPr>
          <w:p>
            <w:pPr>
              <w:spacing w:line="380" w:lineRule="exact"/>
              <w:jc w:val="left"/>
              <w:rPr>
                <w:rFonts w:ascii="仿宋_GB2312" w:hAnsi="仿宋_GB2312" w:eastAsia="仿宋_GB2312" w:cs="Times New Roman"/>
                <w:color w:val="000000"/>
                <w:spacing w:val="-4"/>
                <w:sz w:val="24"/>
                <w:szCs w:val="24"/>
              </w:rPr>
            </w:pPr>
            <w:r>
              <w:rPr>
                <w:rFonts w:hint="eastAsia" w:ascii="仿宋_GB2312" w:hAnsi="仿宋_GB2312" w:eastAsia="仿宋_GB2312" w:cs="仿宋_GB2312"/>
                <w:sz w:val="24"/>
                <w:szCs w:val="24"/>
              </w:rPr>
              <w:t>关于印发《滕州市工程建设各方主体安全行为规范暂行规定》的通知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市建工局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2010</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29</w:t>
            </w:r>
            <w:r>
              <w:rPr>
                <w:rFonts w:hint="eastAsia" w:ascii="仿宋_GB2312" w:hAnsi="仿宋_GB2312" w:eastAsia="仿宋_GB2312" w:cs="仿宋_GB2312"/>
                <w:color w:val="000000"/>
                <w:sz w:val="24"/>
                <w:szCs w:val="24"/>
              </w:rPr>
              <w:t>号</w:t>
            </w:r>
          </w:p>
        </w:tc>
        <w:tc>
          <w:tcPr>
            <w:tcW w:w="7275"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关于做好退耕还林（湿）工作的意见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市林业局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2011</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97</w:t>
            </w:r>
            <w:r>
              <w:rPr>
                <w:rFonts w:hint="eastAsia" w:ascii="仿宋_GB2312" w:hAnsi="仿宋_GB2312" w:eastAsia="仿宋_GB2312" w:cs="仿宋_GB2312"/>
                <w:color w:val="000000"/>
                <w:sz w:val="24"/>
                <w:szCs w:val="24"/>
              </w:rPr>
              <w:t>号</w:t>
            </w:r>
          </w:p>
        </w:tc>
        <w:tc>
          <w:tcPr>
            <w:tcW w:w="7275" w:type="dxa"/>
          </w:tcPr>
          <w:p>
            <w:pPr>
              <w:spacing w:line="380" w:lineRule="exact"/>
              <w:jc w:val="left"/>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关于印发《花卉苗木产业发展考核奖励办法》的通知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市林业局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2012</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12</w:t>
            </w:r>
            <w:r>
              <w:rPr>
                <w:rFonts w:hint="eastAsia" w:ascii="仿宋_GB2312" w:hAnsi="仿宋_GB2312" w:eastAsia="仿宋_GB2312" w:cs="仿宋_GB2312"/>
                <w:color w:val="000000"/>
                <w:sz w:val="24"/>
                <w:szCs w:val="24"/>
              </w:rPr>
              <w:t>号</w:t>
            </w:r>
          </w:p>
        </w:tc>
        <w:tc>
          <w:tcPr>
            <w:tcW w:w="7275" w:type="dxa"/>
          </w:tcPr>
          <w:p>
            <w:pPr>
              <w:spacing w:line="380" w:lineRule="exact"/>
              <w:jc w:val="left"/>
              <w:rPr>
                <w:rFonts w:ascii="仿宋_GB2312" w:hAnsi="仿宋_GB2312" w:eastAsia="仿宋_GB2312" w:cs="Times New Roman"/>
                <w:color w:val="000000"/>
                <w:kern w:val="0"/>
                <w:sz w:val="24"/>
                <w:szCs w:val="24"/>
              </w:rPr>
            </w:pPr>
            <w:r>
              <w:rPr>
                <w:rFonts w:hint="eastAsia" w:ascii="仿宋_GB2312" w:hAnsi="仿宋_GB2312" w:eastAsia="仿宋_GB2312" w:cs="仿宋_GB2312"/>
                <w:sz w:val="24"/>
                <w:szCs w:val="24"/>
              </w:rPr>
              <w:t>关于加快推进建筑产业现代化发展的指导意见（试行）</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市建工局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2012</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97</w:t>
            </w:r>
            <w:r>
              <w:rPr>
                <w:rFonts w:hint="eastAsia" w:ascii="仿宋_GB2312" w:hAnsi="仿宋_GB2312" w:eastAsia="仿宋_GB2312" w:cs="仿宋_GB2312"/>
                <w:color w:val="000000"/>
                <w:sz w:val="24"/>
                <w:szCs w:val="24"/>
              </w:rPr>
              <w:t>号</w:t>
            </w:r>
          </w:p>
        </w:tc>
        <w:tc>
          <w:tcPr>
            <w:tcW w:w="7275"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sz w:val="24"/>
                <w:szCs w:val="24"/>
              </w:rPr>
              <w:t>关于印发《关于开展民间融资规范引导试点工作的实施方案》的通知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市金融办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jc w:val="center"/>
              <w:textAlignment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kern w:val="0"/>
                <w:sz w:val="24"/>
                <w:szCs w:val="24"/>
              </w:rPr>
              <w:t>滕政发</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2013</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kern w:val="0"/>
                <w:sz w:val="24"/>
                <w:szCs w:val="24"/>
              </w:rPr>
              <w:t>52</w:t>
            </w:r>
            <w:r>
              <w:rPr>
                <w:rFonts w:hint="eastAsia" w:ascii="仿宋_GB2312" w:hAnsi="仿宋_GB2312" w:eastAsia="仿宋_GB2312" w:cs="仿宋_GB2312"/>
                <w:color w:val="000000"/>
                <w:kern w:val="0"/>
                <w:sz w:val="24"/>
                <w:szCs w:val="24"/>
              </w:rPr>
              <w:t>号</w:t>
            </w:r>
          </w:p>
        </w:tc>
        <w:tc>
          <w:tcPr>
            <w:tcW w:w="7275" w:type="dxa"/>
            <w:vAlign w:val="center"/>
          </w:tcPr>
          <w:p>
            <w:pPr>
              <w:widowControl/>
              <w:jc w:val="left"/>
              <w:textAlignment w:val="center"/>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关于做好</w:t>
            </w:r>
            <w:r>
              <w:rPr>
                <w:rFonts w:ascii="仿宋_GB2312" w:hAnsi="仿宋_GB2312" w:eastAsia="仿宋_GB2312" w:cs="仿宋_GB2312"/>
                <w:color w:val="000000"/>
                <w:kern w:val="0"/>
                <w:sz w:val="24"/>
                <w:szCs w:val="24"/>
              </w:rPr>
              <w:t>2013</w:t>
            </w:r>
            <w:r>
              <w:rPr>
                <w:rFonts w:hint="eastAsia" w:ascii="仿宋_GB2312" w:hAnsi="仿宋_GB2312" w:eastAsia="仿宋_GB2312" w:cs="仿宋_GB2312"/>
                <w:color w:val="000000"/>
                <w:kern w:val="0"/>
                <w:sz w:val="24"/>
                <w:szCs w:val="24"/>
              </w:rPr>
              <w:t>年“三夏”工作的意见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jc w:val="center"/>
              <w:textAlignment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kern w:val="0"/>
                <w:sz w:val="24"/>
                <w:szCs w:val="24"/>
              </w:rPr>
              <w:t>滕政发</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2013</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kern w:val="0"/>
                <w:sz w:val="24"/>
                <w:szCs w:val="24"/>
              </w:rPr>
              <w:t>87</w:t>
            </w:r>
            <w:r>
              <w:rPr>
                <w:rFonts w:hint="eastAsia" w:ascii="仿宋_GB2312" w:hAnsi="仿宋_GB2312" w:eastAsia="仿宋_GB2312" w:cs="仿宋_GB2312"/>
                <w:color w:val="000000"/>
                <w:kern w:val="0"/>
                <w:sz w:val="24"/>
                <w:szCs w:val="24"/>
              </w:rPr>
              <w:t>号</w:t>
            </w:r>
          </w:p>
        </w:tc>
        <w:tc>
          <w:tcPr>
            <w:tcW w:w="7275" w:type="dxa"/>
            <w:vAlign w:val="center"/>
          </w:tcPr>
          <w:p>
            <w:pPr>
              <w:widowControl/>
              <w:jc w:val="left"/>
              <w:textAlignment w:val="center"/>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关于做好</w:t>
            </w:r>
            <w:r>
              <w:rPr>
                <w:rFonts w:ascii="仿宋_GB2312" w:hAnsi="仿宋_GB2312" w:eastAsia="仿宋_GB2312" w:cs="仿宋_GB2312"/>
                <w:color w:val="000000"/>
                <w:kern w:val="0"/>
                <w:sz w:val="24"/>
                <w:szCs w:val="24"/>
              </w:rPr>
              <w:t>2013</w:t>
            </w:r>
            <w:r>
              <w:rPr>
                <w:rFonts w:hint="eastAsia" w:ascii="仿宋_GB2312" w:hAnsi="仿宋_GB2312" w:eastAsia="仿宋_GB2312" w:cs="仿宋_GB2312"/>
                <w:color w:val="000000"/>
                <w:kern w:val="0"/>
                <w:sz w:val="24"/>
                <w:szCs w:val="24"/>
              </w:rPr>
              <w:t>年“三秋”工作的意见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jc w:val="center"/>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滕政字〔</w:t>
            </w:r>
            <w:r>
              <w:rPr>
                <w:rFonts w:ascii="仿宋_GB2312" w:hAnsi="仿宋_GB2312" w:eastAsia="仿宋_GB2312" w:cs="仿宋_GB2312"/>
                <w:color w:val="000000"/>
                <w:kern w:val="0"/>
                <w:sz w:val="24"/>
                <w:szCs w:val="24"/>
              </w:rPr>
              <w:t>2014</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5</w:t>
            </w:r>
            <w:r>
              <w:rPr>
                <w:rFonts w:hint="eastAsia" w:ascii="仿宋_GB2312" w:hAnsi="仿宋_GB2312" w:eastAsia="仿宋_GB2312" w:cs="仿宋_GB2312"/>
                <w:color w:val="000000"/>
                <w:kern w:val="0"/>
                <w:sz w:val="24"/>
                <w:szCs w:val="24"/>
              </w:rPr>
              <w:t>号</w:t>
            </w:r>
          </w:p>
        </w:tc>
        <w:tc>
          <w:tcPr>
            <w:tcW w:w="7275" w:type="dxa"/>
            <w:vAlign w:val="center"/>
          </w:tcPr>
          <w:p>
            <w:pPr>
              <w:widowControl/>
              <w:jc w:val="left"/>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关于申报</w:t>
            </w:r>
            <w:r>
              <w:rPr>
                <w:rFonts w:ascii="仿宋_GB2312" w:hAnsi="仿宋_GB2312" w:eastAsia="仿宋_GB2312" w:cs="仿宋_GB2312"/>
                <w:color w:val="000000"/>
                <w:kern w:val="0"/>
                <w:sz w:val="24"/>
                <w:szCs w:val="24"/>
              </w:rPr>
              <w:t>2014</w:t>
            </w:r>
            <w:r>
              <w:rPr>
                <w:rFonts w:hint="eastAsia" w:ascii="仿宋_GB2312" w:hAnsi="仿宋_GB2312" w:eastAsia="仿宋_GB2312" w:cs="仿宋_GB2312"/>
                <w:color w:val="000000"/>
                <w:kern w:val="0"/>
                <w:sz w:val="24"/>
                <w:szCs w:val="24"/>
              </w:rPr>
              <w:t>年新型职业农民培训试点县的函</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jc w:val="center"/>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滕政发〔</w:t>
            </w:r>
            <w:r>
              <w:rPr>
                <w:rFonts w:ascii="仿宋_GB2312" w:hAnsi="仿宋_GB2312" w:eastAsia="仿宋_GB2312" w:cs="仿宋_GB2312"/>
                <w:color w:val="000000"/>
                <w:kern w:val="0"/>
                <w:sz w:val="24"/>
                <w:szCs w:val="24"/>
              </w:rPr>
              <w:t>2014</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36</w:t>
            </w:r>
            <w:r>
              <w:rPr>
                <w:rFonts w:hint="eastAsia" w:ascii="仿宋_GB2312" w:hAnsi="仿宋_GB2312" w:eastAsia="仿宋_GB2312" w:cs="仿宋_GB2312"/>
                <w:color w:val="000000"/>
                <w:kern w:val="0"/>
                <w:sz w:val="24"/>
                <w:szCs w:val="24"/>
              </w:rPr>
              <w:t>号</w:t>
            </w:r>
          </w:p>
        </w:tc>
        <w:tc>
          <w:tcPr>
            <w:tcW w:w="7275" w:type="dxa"/>
            <w:vAlign w:val="center"/>
          </w:tcPr>
          <w:p>
            <w:pPr>
              <w:widowControl/>
              <w:jc w:val="left"/>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关于印发《滕州市粮食高产创建示范方建设实施方案（</w:t>
            </w:r>
            <w:r>
              <w:rPr>
                <w:rFonts w:ascii="仿宋_GB2312" w:hAnsi="仿宋_GB2312" w:eastAsia="仿宋_GB2312" w:cs="仿宋_GB2312"/>
                <w:color w:val="000000"/>
                <w:kern w:val="0"/>
                <w:sz w:val="24"/>
                <w:szCs w:val="24"/>
              </w:rPr>
              <w:t>2014-2017</w:t>
            </w:r>
            <w:r>
              <w:rPr>
                <w:rFonts w:hint="eastAsia" w:ascii="仿宋_GB2312" w:hAnsi="仿宋_GB2312" w:eastAsia="仿宋_GB2312" w:cs="仿宋_GB2312"/>
                <w:color w:val="000000"/>
                <w:kern w:val="0"/>
                <w:sz w:val="24"/>
                <w:szCs w:val="24"/>
              </w:rPr>
              <w:t>）》的通知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jc w:val="center"/>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滕政发〔</w:t>
            </w:r>
            <w:r>
              <w:rPr>
                <w:rFonts w:ascii="仿宋_GB2312" w:hAnsi="仿宋_GB2312" w:eastAsia="仿宋_GB2312" w:cs="仿宋_GB2312"/>
                <w:color w:val="000000"/>
                <w:kern w:val="0"/>
                <w:sz w:val="24"/>
                <w:szCs w:val="24"/>
              </w:rPr>
              <w:t>2014</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46</w:t>
            </w:r>
            <w:r>
              <w:rPr>
                <w:rFonts w:hint="eastAsia" w:ascii="仿宋_GB2312" w:hAnsi="仿宋_GB2312" w:eastAsia="仿宋_GB2312" w:cs="仿宋_GB2312"/>
                <w:color w:val="000000"/>
                <w:kern w:val="0"/>
                <w:sz w:val="24"/>
                <w:szCs w:val="24"/>
              </w:rPr>
              <w:t>号</w:t>
            </w:r>
          </w:p>
        </w:tc>
        <w:tc>
          <w:tcPr>
            <w:tcW w:w="7275" w:type="dxa"/>
            <w:vAlign w:val="center"/>
          </w:tcPr>
          <w:p>
            <w:pPr>
              <w:widowControl/>
              <w:jc w:val="left"/>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关于做好</w:t>
            </w:r>
            <w:r>
              <w:rPr>
                <w:rFonts w:ascii="仿宋_GB2312" w:hAnsi="仿宋_GB2312" w:eastAsia="仿宋_GB2312" w:cs="仿宋_GB2312"/>
                <w:color w:val="000000"/>
                <w:kern w:val="0"/>
                <w:sz w:val="24"/>
                <w:szCs w:val="24"/>
              </w:rPr>
              <w:t>2014</w:t>
            </w:r>
            <w:r>
              <w:rPr>
                <w:rFonts w:hint="eastAsia" w:ascii="仿宋_GB2312" w:hAnsi="仿宋_GB2312" w:eastAsia="仿宋_GB2312" w:cs="仿宋_GB2312"/>
                <w:color w:val="000000"/>
                <w:kern w:val="0"/>
                <w:sz w:val="24"/>
                <w:szCs w:val="24"/>
              </w:rPr>
              <w:t>年“三夏”工作的意见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jc w:val="center"/>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滕政发〔</w:t>
            </w:r>
            <w:r>
              <w:rPr>
                <w:rFonts w:ascii="仿宋_GB2312" w:hAnsi="仿宋_GB2312" w:eastAsia="仿宋_GB2312" w:cs="仿宋_GB2312"/>
                <w:color w:val="000000"/>
                <w:kern w:val="0"/>
                <w:sz w:val="24"/>
                <w:szCs w:val="24"/>
              </w:rPr>
              <w:t>2014</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69</w:t>
            </w:r>
            <w:r>
              <w:rPr>
                <w:rFonts w:hint="eastAsia" w:ascii="仿宋_GB2312" w:hAnsi="仿宋_GB2312" w:eastAsia="仿宋_GB2312" w:cs="仿宋_GB2312"/>
                <w:color w:val="000000"/>
                <w:kern w:val="0"/>
                <w:sz w:val="24"/>
                <w:szCs w:val="24"/>
              </w:rPr>
              <w:t>号</w:t>
            </w:r>
          </w:p>
        </w:tc>
        <w:tc>
          <w:tcPr>
            <w:tcW w:w="7275" w:type="dxa"/>
            <w:vAlign w:val="center"/>
          </w:tcPr>
          <w:p>
            <w:pPr>
              <w:widowControl/>
              <w:jc w:val="left"/>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关于做好</w:t>
            </w:r>
            <w:r>
              <w:rPr>
                <w:rFonts w:ascii="仿宋_GB2312" w:hAnsi="仿宋_GB2312" w:eastAsia="仿宋_GB2312" w:cs="仿宋_GB2312"/>
                <w:color w:val="000000"/>
                <w:kern w:val="0"/>
                <w:sz w:val="24"/>
                <w:szCs w:val="24"/>
              </w:rPr>
              <w:t>2014</w:t>
            </w:r>
            <w:r>
              <w:rPr>
                <w:rFonts w:hint="eastAsia" w:ascii="仿宋_GB2312" w:hAnsi="仿宋_GB2312" w:eastAsia="仿宋_GB2312" w:cs="仿宋_GB2312"/>
                <w:color w:val="000000"/>
                <w:kern w:val="0"/>
                <w:sz w:val="24"/>
                <w:szCs w:val="24"/>
              </w:rPr>
              <w:t>年“三秋”工作的意见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jc w:val="center"/>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滕政发〔</w:t>
            </w:r>
            <w:r>
              <w:rPr>
                <w:rFonts w:ascii="仿宋_GB2312" w:hAnsi="仿宋_GB2312" w:eastAsia="仿宋_GB2312" w:cs="仿宋_GB2312"/>
                <w:color w:val="000000"/>
                <w:kern w:val="0"/>
                <w:sz w:val="24"/>
                <w:szCs w:val="24"/>
              </w:rPr>
              <w:t>2014</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81</w:t>
            </w:r>
            <w:r>
              <w:rPr>
                <w:rFonts w:hint="eastAsia" w:ascii="仿宋_GB2312" w:hAnsi="仿宋_GB2312" w:eastAsia="仿宋_GB2312" w:cs="仿宋_GB2312"/>
                <w:color w:val="000000"/>
                <w:kern w:val="0"/>
                <w:sz w:val="24"/>
                <w:szCs w:val="24"/>
              </w:rPr>
              <w:t>号</w:t>
            </w:r>
          </w:p>
        </w:tc>
        <w:tc>
          <w:tcPr>
            <w:tcW w:w="7275" w:type="dxa"/>
            <w:vAlign w:val="center"/>
          </w:tcPr>
          <w:p>
            <w:pPr>
              <w:widowControl/>
              <w:jc w:val="left"/>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关于印发《</w:t>
            </w:r>
            <w:r>
              <w:rPr>
                <w:rFonts w:ascii="仿宋_GB2312" w:hAnsi="仿宋_GB2312" w:eastAsia="仿宋_GB2312" w:cs="仿宋_GB2312"/>
                <w:color w:val="000000"/>
                <w:kern w:val="0"/>
                <w:sz w:val="24"/>
                <w:szCs w:val="24"/>
              </w:rPr>
              <w:t>2014</w:t>
            </w:r>
            <w:r>
              <w:rPr>
                <w:rFonts w:hint="eastAsia" w:ascii="仿宋_GB2312" w:hAnsi="仿宋_GB2312" w:eastAsia="仿宋_GB2312" w:cs="仿宋_GB2312"/>
                <w:color w:val="000000"/>
                <w:kern w:val="0"/>
                <w:sz w:val="24"/>
                <w:szCs w:val="24"/>
              </w:rPr>
              <w:t>年滕州市新型职业农民培育实施方案》的通知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spacing w:line="380" w:lineRule="exact"/>
              <w:jc w:val="center"/>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sz w:val="24"/>
                <w:szCs w:val="24"/>
              </w:rPr>
              <w:t>滕政发〔</w:t>
            </w:r>
            <w:r>
              <w:rPr>
                <w:rFonts w:ascii="仿宋_GB2312" w:hAnsi="仿宋_GB2312" w:eastAsia="仿宋_GB2312" w:cs="仿宋_GB2312"/>
                <w:color w:val="000000"/>
                <w:sz w:val="24"/>
                <w:szCs w:val="24"/>
              </w:rPr>
              <w:t>2014</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kern w:val="0"/>
                <w:sz w:val="24"/>
                <w:szCs w:val="24"/>
              </w:rPr>
              <w:t>88</w:t>
            </w:r>
            <w:r>
              <w:rPr>
                <w:rFonts w:hint="eastAsia" w:ascii="仿宋_GB2312" w:hAnsi="仿宋_GB2312" w:eastAsia="仿宋_GB2312" w:cs="仿宋_GB2312"/>
                <w:color w:val="000000"/>
                <w:kern w:val="0"/>
                <w:sz w:val="24"/>
                <w:szCs w:val="24"/>
              </w:rPr>
              <w:t>号</w:t>
            </w:r>
          </w:p>
        </w:tc>
        <w:tc>
          <w:tcPr>
            <w:tcW w:w="7275" w:type="dxa"/>
            <w:vAlign w:val="center"/>
          </w:tcPr>
          <w:p>
            <w:pPr>
              <w:spacing w:line="380" w:lineRule="exact"/>
              <w:jc w:val="left"/>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sz w:val="24"/>
                <w:szCs w:val="24"/>
              </w:rPr>
              <w:t>关于印发《滕州市级行政审批事项目录清单》的通知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市编办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jc w:val="center"/>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滕政字〔</w:t>
            </w:r>
            <w:r>
              <w:rPr>
                <w:rFonts w:ascii="仿宋_GB2312" w:hAnsi="仿宋_GB2312" w:eastAsia="仿宋_GB2312" w:cs="仿宋_GB2312"/>
                <w:color w:val="000000"/>
                <w:kern w:val="0"/>
                <w:sz w:val="24"/>
                <w:szCs w:val="24"/>
              </w:rPr>
              <w:t>2015</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10</w:t>
            </w:r>
            <w:r>
              <w:rPr>
                <w:rFonts w:hint="eastAsia" w:ascii="仿宋_GB2312" w:hAnsi="仿宋_GB2312" w:eastAsia="仿宋_GB2312" w:cs="仿宋_GB2312"/>
                <w:color w:val="000000"/>
                <w:kern w:val="0"/>
                <w:sz w:val="24"/>
                <w:szCs w:val="24"/>
              </w:rPr>
              <w:t>号</w:t>
            </w:r>
          </w:p>
        </w:tc>
        <w:tc>
          <w:tcPr>
            <w:tcW w:w="7275" w:type="dxa"/>
            <w:vAlign w:val="center"/>
          </w:tcPr>
          <w:p>
            <w:pPr>
              <w:widowControl/>
              <w:jc w:val="left"/>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关于申请粮食高产创建示范方考核验收的报告</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jc w:val="center"/>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滕政发〔</w:t>
            </w:r>
            <w:r>
              <w:rPr>
                <w:rFonts w:ascii="仿宋_GB2312" w:hAnsi="仿宋_GB2312" w:eastAsia="仿宋_GB2312" w:cs="仿宋_GB2312"/>
                <w:color w:val="000000"/>
                <w:kern w:val="0"/>
                <w:sz w:val="24"/>
                <w:szCs w:val="24"/>
              </w:rPr>
              <w:t>2015</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35</w:t>
            </w:r>
            <w:r>
              <w:rPr>
                <w:rFonts w:hint="eastAsia" w:ascii="仿宋_GB2312" w:hAnsi="仿宋_GB2312" w:eastAsia="仿宋_GB2312" w:cs="仿宋_GB2312"/>
                <w:color w:val="000000"/>
                <w:kern w:val="0"/>
                <w:sz w:val="24"/>
                <w:szCs w:val="24"/>
              </w:rPr>
              <w:t>号</w:t>
            </w:r>
          </w:p>
        </w:tc>
        <w:tc>
          <w:tcPr>
            <w:tcW w:w="7275" w:type="dxa"/>
            <w:vAlign w:val="center"/>
          </w:tcPr>
          <w:p>
            <w:pPr>
              <w:widowControl/>
              <w:jc w:val="left"/>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关于做好</w:t>
            </w:r>
            <w:r>
              <w:rPr>
                <w:rFonts w:ascii="仿宋_GB2312" w:hAnsi="仿宋_GB2312" w:eastAsia="仿宋_GB2312" w:cs="仿宋_GB2312"/>
                <w:color w:val="000000"/>
                <w:kern w:val="0"/>
                <w:sz w:val="24"/>
                <w:szCs w:val="24"/>
              </w:rPr>
              <w:t>2015</w:t>
            </w:r>
            <w:r>
              <w:rPr>
                <w:rFonts w:hint="eastAsia" w:ascii="仿宋_GB2312" w:hAnsi="仿宋_GB2312" w:eastAsia="仿宋_GB2312" w:cs="仿宋_GB2312"/>
                <w:color w:val="000000"/>
                <w:kern w:val="0"/>
                <w:sz w:val="24"/>
                <w:szCs w:val="24"/>
              </w:rPr>
              <w:t>年“三夏”工作的意见</w:t>
            </w:r>
          </w:p>
        </w:tc>
        <w:tc>
          <w:tcPr>
            <w:tcW w:w="2896" w:type="dxa"/>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jc w:val="center"/>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sz w:val="24"/>
                <w:szCs w:val="24"/>
              </w:rPr>
              <w:t>滕政发〔</w:t>
            </w:r>
            <w:r>
              <w:rPr>
                <w:rFonts w:ascii="仿宋_GB2312" w:hAnsi="仿宋_GB2312" w:eastAsia="仿宋_GB2312" w:cs="仿宋_GB2312"/>
                <w:sz w:val="24"/>
                <w:szCs w:val="24"/>
              </w:rPr>
              <w:t>2015</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43</w:t>
            </w:r>
            <w:r>
              <w:rPr>
                <w:rFonts w:hint="eastAsia" w:ascii="仿宋_GB2312" w:hAnsi="仿宋_GB2312" w:eastAsia="仿宋_GB2312" w:cs="仿宋_GB2312"/>
                <w:sz w:val="24"/>
                <w:szCs w:val="24"/>
              </w:rPr>
              <w:t>号</w:t>
            </w:r>
          </w:p>
        </w:tc>
        <w:tc>
          <w:tcPr>
            <w:tcW w:w="7275" w:type="dxa"/>
            <w:vAlign w:val="center"/>
          </w:tcPr>
          <w:p>
            <w:pPr>
              <w:widowControl/>
              <w:jc w:val="left"/>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sz w:val="24"/>
                <w:szCs w:val="24"/>
              </w:rPr>
              <w:t>关于进一步做好建成区燃煤锅炉取缔工作的通知</w:t>
            </w:r>
          </w:p>
        </w:tc>
        <w:tc>
          <w:tcPr>
            <w:tcW w:w="2896" w:type="dxa"/>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jc w:val="center"/>
              <w:textAlignment w:val="center"/>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滕政发〔</w:t>
            </w:r>
            <w:r>
              <w:rPr>
                <w:rFonts w:ascii="仿宋_GB2312" w:hAnsi="仿宋_GB2312" w:eastAsia="仿宋_GB2312" w:cs="仿宋_GB2312"/>
                <w:color w:val="000000"/>
                <w:kern w:val="0"/>
                <w:sz w:val="24"/>
                <w:szCs w:val="24"/>
              </w:rPr>
              <w:t>2015</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61</w:t>
            </w:r>
            <w:r>
              <w:rPr>
                <w:rFonts w:hint="eastAsia" w:ascii="仿宋_GB2312" w:hAnsi="仿宋_GB2312" w:eastAsia="仿宋_GB2312" w:cs="仿宋_GB2312"/>
                <w:color w:val="000000"/>
                <w:kern w:val="0"/>
                <w:sz w:val="24"/>
                <w:szCs w:val="24"/>
              </w:rPr>
              <w:t>号</w:t>
            </w:r>
          </w:p>
        </w:tc>
        <w:tc>
          <w:tcPr>
            <w:tcW w:w="7275" w:type="dxa"/>
            <w:vAlign w:val="center"/>
          </w:tcPr>
          <w:p>
            <w:pPr>
              <w:widowControl/>
              <w:jc w:val="left"/>
              <w:textAlignment w:val="center"/>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关于做好</w:t>
            </w:r>
            <w:r>
              <w:rPr>
                <w:rFonts w:ascii="仿宋_GB2312" w:hAnsi="仿宋_GB2312" w:eastAsia="仿宋_GB2312" w:cs="仿宋_GB2312"/>
                <w:color w:val="000000"/>
                <w:kern w:val="0"/>
                <w:sz w:val="24"/>
                <w:szCs w:val="24"/>
              </w:rPr>
              <w:t>2015</w:t>
            </w:r>
            <w:r>
              <w:rPr>
                <w:rFonts w:hint="eastAsia" w:ascii="仿宋_GB2312" w:hAnsi="仿宋_GB2312" w:eastAsia="仿宋_GB2312" w:cs="仿宋_GB2312"/>
                <w:color w:val="000000"/>
                <w:kern w:val="0"/>
                <w:sz w:val="24"/>
                <w:szCs w:val="24"/>
              </w:rPr>
              <w:t>年“三秋”工作的意见</w:t>
            </w:r>
          </w:p>
        </w:tc>
        <w:tc>
          <w:tcPr>
            <w:tcW w:w="2896" w:type="dxa"/>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滕政发〔</w:t>
            </w:r>
            <w:r>
              <w:rPr>
                <w:rFonts w:ascii="仿宋_GB2312" w:hAnsi="仿宋_GB2312" w:eastAsia="仿宋_GB2312" w:cs="仿宋_GB2312"/>
                <w:sz w:val="24"/>
                <w:szCs w:val="24"/>
              </w:rPr>
              <w:t>2017</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26</w:t>
            </w:r>
            <w:r>
              <w:rPr>
                <w:rFonts w:hint="eastAsia" w:ascii="仿宋_GB2312" w:hAnsi="仿宋_GB2312" w:eastAsia="仿宋_GB2312" w:cs="仿宋_GB2312"/>
                <w:sz w:val="24"/>
                <w:szCs w:val="24"/>
              </w:rPr>
              <w:t>号</w:t>
            </w:r>
          </w:p>
        </w:tc>
        <w:tc>
          <w:tcPr>
            <w:tcW w:w="7275" w:type="dxa"/>
            <w:vAlign w:val="center"/>
          </w:tcPr>
          <w:p>
            <w:pPr>
              <w:spacing w:line="380" w:lineRule="exac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w:t>
            </w:r>
            <w:r>
              <w:rPr>
                <w:rFonts w:ascii="仿宋_GB2312" w:hAnsi="仿宋_GB2312" w:eastAsia="仿宋_GB2312" w:cs="仿宋_GB2312"/>
                <w:sz w:val="24"/>
                <w:szCs w:val="24"/>
              </w:rPr>
              <w:t>2017</w:t>
            </w:r>
            <w:r>
              <w:rPr>
                <w:rFonts w:hint="eastAsia" w:ascii="仿宋_GB2312" w:hAnsi="仿宋_GB2312" w:eastAsia="仿宋_GB2312" w:cs="仿宋_GB2312"/>
                <w:sz w:val="24"/>
                <w:szCs w:val="24"/>
              </w:rPr>
              <w:t>年大气污染防治工作方案》的通知</w:t>
            </w:r>
          </w:p>
        </w:tc>
        <w:tc>
          <w:tcPr>
            <w:tcW w:w="2896" w:type="dxa"/>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sz w:val="24"/>
                <w:szCs w:val="24"/>
              </w:rPr>
            </w:pPr>
            <w:r>
              <w:rPr>
                <w:rFonts w:hint="eastAsia" w:ascii="仿宋_GB2312" w:hAnsi="仿宋_GB2312" w:eastAsia="仿宋_GB2312" w:cs="仿宋_GB2312"/>
                <w:sz w:val="24"/>
                <w:szCs w:val="24"/>
              </w:rPr>
              <w:t>滕政发〔</w:t>
            </w:r>
            <w:r>
              <w:rPr>
                <w:rFonts w:ascii="仿宋_GB2312" w:hAnsi="仿宋_GB2312" w:eastAsia="仿宋_GB2312" w:cs="仿宋_GB2312"/>
                <w:sz w:val="24"/>
                <w:szCs w:val="24"/>
              </w:rPr>
              <w:t>2017</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27</w:t>
            </w:r>
            <w:r>
              <w:rPr>
                <w:rFonts w:hint="eastAsia" w:ascii="仿宋_GB2312" w:hAnsi="仿宋_GB2312" w:eastAsia="仿宋_GB2312" w:cs="仿宋_GB2312"/>
                <w:sz w:val="24"/>
                <w:szCs w:val="24"/>
              </w:rPr>
              <w:t>号</w:t>
            </w:r>
          </w:p>
        </w:tc>
        <w:tc>
          <w:tcPr>
            <w:tcW w:w="7275" w:type="dxa"/>
            <w:vAlign w:val="center"/>
          </w:tcPr>
          <w:p>
            <w:pPr>
              <w:spacing w:line="380" w:lineRule="exac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w:t>
            </w:r>
            <w:r>
              <w:rPr>
                <w:rFonts w:ascii="仿宋_GB2312" w:hAnsi="仿宋_GB2312" w:eastAsia="仿宋_GB2312" w:cs="仿宋_GB2312"/>
                <w:sz w:val="24"/>
                <w:szCs w:val="24"/>
              </w:rPr>
              <w:t>2017</w:t>
            </w:r>
            <w:r>
              <w:rPr>
                <w:rFonts w:hint="eastAsia" w:ascii="仿宋_GB2312" w:hAnsi="仿宋_GB2312" w:eastAsia="仿宋_GB2312" w:cs="仿宋_GB2312"/>
                <w:sz w:val="24"/>
                <w:szCs w:val="24"/>
              </w:rPr>
              <w:t>年水污染防治工作方案》的通知</w:t>
            </w:r>
          </w:p>
        </w:tc>
        <w:tc>
          <w:tcPr>
            <w:tcW w:w="2896" w:type="dxa"/>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jc w:val="center"/>
              <w:textAlignment w:val="center"/>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滕政发〔</w:t>
            </w:r>
            <w:r>
              <w:rPr>
                <w:rFonts w:ascii="仿宋_GB2312" w:hAnsi="仿宋_GB2312" w:eastAsia="仿宋_GB2312" w:cs="仿宋_GB2312"/>
                <w:color w:val="000000"/>
                <w:kern w:val="0"/>
                <w:sz w:val="24"/>
                <w:szCs w:val="24"/>
              </w:rPr>
              <w:t>2017</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56</w:t>
            </w:r>
            <w:r>
              <w:rPr>
                <w:rFonts w:hint="eastAsia" w:ascii="仿宋_GB2312" w:hAnsi="仿宋_GB2312" w:eastAsia="仿宋_GB2312" w:cs="仿宋_GB2312"/>
                <w:color w:val="000000"/>
                <w:kern w:val="0"/>
                <w:sz w:val="24"/>
                <w:szCs w:val="24"/>
              </w:rPr>
              <w:t>号</w:t>
            </w:r>
          </w:p>
        </w:tc>
        <w:tc>
          <w:tcPr>
            <w:tcW w:w="7275" w:type="dxa"/>
            <w:vAlign w:val="center"/>
          </w:tcPr>
          <w:p>
            <w:pPr>
              <w:widowControl/>
              <w:jc w:val="left"/>
              <w:textAlignment w:val="center"/>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关于做好</w:t>
            </w:r>
            <w:r>
              <w:rPr>
                <w:rFonts w:ascii="仿宋_GB2312" w:hAnsi="仿宋_GB2312" w:eastAsia="仿宋_GB2312" w:cs="仿宋_GB2312"/>
                <w:color w:val="000000"/>
                <w:kern w:val="0"/>
                <w:sz w:val="24"/>
                <w:szCs w:val="24"/>
              </w:rPr>
              <w:t>2017</w:t>
            </w:r>
            <w:r>
              <w:rPr>
                <w:rFonts w:hint="eastAsia" w:ascii="仿宋_GB2312" w:hAnsi="仿宋_GB2312" w:eastAsia="仿宋_GB2312" w:cs="仿宋_GB2312"/>
                <w:color w:val="000000"/>
                <w:kern w:val="0"/>
                <w:sz w:val="24"/>
                <w:szCs w:val="24"/>
              </w:rPr>
              <w:t>年“三夏”工作的意见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jc w:val="center"/>
              <w:textAlignment w:val="center"/>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滕政字〔</w:t>
            </w:r>
            <w:r>
              <w:rPr>
                <w:rFonts w:ascii="仿宋_GB2312" w:hAnsi="仿宋_GB2312" w:eastAsia="仿宋_GB2312" w:cs="仿宋_GB2312"/>
                <w:color w:val="000000"/>
                <w:kern w:val="0"/>
                <w:sz w:val="24"/>
                <w:szCs w:val="24"/>
              </w:rPr>
              <w:t>2017</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74</w:t>
            </w:r>
            <w:r>
              <w:rPr>
                <w:rFonts w:hint="eastAsia" w:ascii="仿宋_GB2312" w:hAnsi="仿宋_GB2312" w:eastAsia="仿宋_GB2312" w:cs="仿宋_GB2312"/>
                <w:color w:val="000000"/>
                <w:kern w:val="0"/>
                <w:sz w:val="24"/>
                <w:szCs w:val="24"/>
              </w:rPr>
              <w:t>号</w:t>
            </w:r>
          </w:p>
        </w:tc>
        <w:tc>
          <w:tcPr>
            <w:tcW w:w="7275" w:type="dxa"/>
            <w:vAlign w:val="center"/>
          </w:tcPr>
          <w:p>
            <w:pPr>
              <w:widowControl/>
              <w:jc w:val="left"/>
              <w:textAlignment w:val="center"/>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关于申请实施</w:t>
            </w:r>
            <w:r>
              <w:rPr>
                <w:rFonts w:ascii="仿宋_GB2312" w:hAnsi="仿宋_GB2312" w:eastAsia="仿宋_GB2312" w:cs="仿宋_GB2312"/>
                <w:color w:val="000000"/>
                <w:kern w:val="0"/>
                <w:sz w:val="24"/>
                <w:szCs w:val="24"/>
              </w:rPr>
              <w:t>2017</w:t>
            </w:r>
            <w:r>
              <w:rPr>
                <w:rFonts w:hint="eastAsia" w:ascii="仿宋_GB2312" w:hAnsi="仿宋_GB2312" w:eastAsia="仿宋_GB2312" w:cs="仿宋_GB2312"/>
                <w:color w:val="000000"/>
                <w:kern w:val="0"/>
                <w:sz w:val="24"/>
                <w:szCs w:val="24"/>
              </w:rPr>
              <w:t>年山东省农作物秸秆综合利用试点项目的报告</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jc w:val="center"/>
              <w:textAlignment w:val="center"/>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滕政发〔</w:t>
            </w:r>
            <w:r>
              <w:rPr>
                <w:rFonts w:ascii="仿宋_GB2312" w:hAnsi="仿宋_GB2312" w:eastAsia="仿宋_GB2312" w:cs="仿宋_GB2312"/>
                <w:color w:val="000000"/>
                <w:kern w:val="0"/>
                <w:sz w:val="24"/>
                <w:szCs w:val="24"/>
              </w:rPr>
              <w:t>2017</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85</w:t>
            </w:r>
            <w:r>
              <w:rPr>
                <w:rFonts w:hint="eastAsia" w:ascii="仿宋_GB2312" w:hAnsi="仿宋_GB2312" w:eastAsia="仿宋_GB2312" w:cs="仿宋_GB2312"/>
                <w:color w:val="000000"/>
                <w:kern w:val="0"/>
                <w:sz w:val="24"/>
                <w:szCs w:val="24"/>
              </w:rPr>
              <w:t>号</w:t>
            </w:r>
          </w:p>
        </w:tc>
        <w:tc>
          <w:tcPr>
            <w:tcW w:w="7275" w:type="dxa"/>
            <w:vAlign w:val="center"/>
          </w:tcPr>
          <w:p>
            <w:pPr>
              <w:widowControl/>
              <w:jc w:val="left"/>
              <w:textAlignment w:val="center"/>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关于做好</w:t>
            </w:r>
            <w:r>
              <w:rPr>
                <w:rFonts w:ascii="仿宋_GB2312" w:hAnsi="仿宋_GB2312" w:eastAsia="仿宋_GB2312" w:cs="仿宋_GB2312"/>
                <w:color w:val="000000"/>
                <w:kern w:val="0"/>
                <w:sz w:val="24"/>
                <w:szCs w:val="24"/>
              </w:rPr>
              <w:t>2017</w:t>
            </w:r>
            <w:r>
              <w:rPr>
                <w:rFonts w:hint="eastAsia" w:ascii="仿宋_GB2312" w:hAnsi="仿宋_GB2312" w:eastAsia="仿宋_GB2312" w:cs="仿宋_GB2312"/>
                <w:color w:val="000000"/>
                <w:kern w:val="0"/>
                <w:sz w:val="24"/>
                <w:szCs w:val="24"/>
              </w:rPr>
              <w:t>年“三秋”工作的意见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jc w:val="center"/>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sz w:val="24"/>
                <w:szCs w:val="24"/>
              </w:rPr>
              <w:t>滕政发〔</w:t>
            </w:r>
            <w:r>
              <w:rPr>
                <w:rFonts w:ascii="仿宋_GB2312" w:hAnsi="仿宋_GB2312" w:eastAsia="仿宋_GB2312" w:cs="仿宋_GB2312"/>
                <w:sz w:val="24"/>
                <w:szCs w:val="24"/>
              </w:rPr>
              <w:t>2017</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96</w:t>
            </w:r>
            <w:r>
              <w:rPr>
                <w:rFonts w:hint="eastAsia" w:ascii="仿宋_GB2312" w:hAnsi="仿宋_GB2312" w:eastAsia="仿宋_GB2312" w:cs="仿宋_GB2312"/>
                <w:sz w:val="24"/>
                <w:szCs w:val="24"/>
              </w:rPr>
              <w:t>号</w:t>
            </w:r>
          </w:p>
        </w:tc>
        <w:tc>
          <w:tcPr>
            <w:tcW w:w="7275" w:type="dxa"/>
            <w:vAlign w:val="center"/>
          </w:tcPr>
          <w:p>
            <w:pPr>
              <w:widowControl/>
              <w:jc w:val="left"/>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sz w:val="24"/>
                <w:szCs w:val="24"/>
              </w:rPr>
              <w:t>关于印发《滕州市</w:t>
            </w:r>
            <w:r>
              <w:rPr>
                <w:rFonts w:ascii="仿宋_GB2312" w:hAnsi="仿宋_GB2312" w:eastAsia="仿宋_GB2312" w:cs="仿宋_GB2312"/>
                <w:sz w:val="24"/>
                <w:szCs w:val="24"/>
              </w:rPr>
              <w:t>2017</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2018</w:t>
            </w:r>
            <w:r>
              <w:rPr>
                <w:rFonts w:hint="eastAsia" w:ascii="仿宋_GB2312" w:hAnsi="仿宋_GB2312" w:eastAsia="仿宋_GB2312" w:cs="仿宋_GB2312"/>
                <w:sz w:val="24"/>
                <w:szCs w:val="24"/>
              </w:rPr>
              <w:t>年秋冬季大气污染综合治理攻坚行动方案》的通知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kern w:val="0"/>
                <w:sz w:val="24"/>
                <w:szCs w:val="24"/>
              </w:rPr>
              <w:t>滕政办发〔</w:t>
            </w:r>
            <w:r>
              <w:rPr>
                <w:rFonts w:ascii="仿宋_GB2312" w:hAnsi="仿宋_GB2312" w:eastAsia="仿宋_GB2312" w:cs="仿宋_GB2312"/>
                <w:color w:val="000000"/>
                <w:kern w:val="0"/>
                <w:sz w:val="24"/>
                <w:szCs w:val="24"/>
              </w:rPr>
              <w:t>2009</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86</w:t>
            </w:r>
            <w:r>
              <w:rPr>
                <w:rFonts w:hint="eastAsia" w:ascii="仿宋_GB2312" w:hAnsi="仿宋_GB2312" w:eastAsia="仿宋_GB2312" w:cs="仿宋_GB2312"/>
                <w:color w:val="000000"/>
                <w:kern w:val="0"/>
                <w:sz w:val="24"/>
                <w:szCs w:val="24"/>
              </w:rPr>
              <w:t>号</w:t>
            </w:r>
          </w:p>
        </w:tc>
        <w:tc>
          <w:tcPr>
            <w:tcW w:w="7275" w:type="dxa"/>
          </w:tcPr>
          <w:p>
            <w:pPr>
              <w:spacing w:line="380" w:lineRule="exact"/>
              <w:jc w:val="left"/>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关于印发《滕州市“枣庄优惠二日游”奖励办法》的通知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市旅服局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kern w:val="0"/>
                <w:sz w:val="24"/>
                <w:szCs w:val="24"/>
              </w:rPr>
              <w:t>滕政办发〔</w:t>
            </w:r>
            <w:r>
              <w:rPr>
                <w:rFonts w:ascii="仿宋_GB2312" w:hAnsi="仿宋_GB2312" w:eastAsia="仿宋_GB2312" w:cs="仿宋_GB2312"/>
                <w:color w:val="000000"/>
                <w:kern w:val="0"/>
                <w:sz w:val="24"/>
                <w:szCs w:val="24"/>
              </w:rPr>
              <w:t>2010</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47</w:t>
            </w:r>
            <w:r>
              <w:rPr>
                <w:rFonts w:hint="eastAsia" w:ascii="仿宋_GB2312" w:hAnsi="仿宋_GB2312" w:eastAsia="仿宋_GB2312" w:cs="仿宋_GB2312"/>
                <w:color w:val="000000"/>
                <w:kern w:val="0"/>
                <w:sz w:val="24"/>
                <w:szCs w:val="24"/>
              </w:rPr>
              <w:t>号</w:t>
            </w:r>
          </w:p>
        </w:tc>
        <w:tc>
          <w:tcPr>
            <w:tcW w:w="7275" w:type="dxa"/>
          </w:tcPr>
          <w:p>
            <w:pPr>
              <w:spacing w:line="380" w:lineRule="exact"/>
              <w:jc w:val="left"/>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关于进一步支持服务业发展的实施意见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市旅服局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2012</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6</w:t>
            </w:r>
            <w:r>
              <w:rPr>
                <w:rFonts w:hint="eastAsia" w:ascii="仿宋_GB2312" w:hAnsi="仿宋_GB2312" w:eastAsia="仿宋_GB2312" w:cs="仿宋_GB2312"/>
                <w:color w:val="000000"/>
                <w:sz w:val="24"/>
                <w:szCs w:val="24"/>
              </w:rPr>
              <w:t>号</w:t>
            </w:r>
          </w:p>
        </w:tc>
        <w:tc>
          <w:tcPr>
            <w:tcW w:w="7275"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关于做好全市消除麻疹工作的通知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2012</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18</w:t>
            </w:r>
            <w:r>
              <w:rPr>
                <w:rFonts w:hint="eastAsia" w:ascii="仿宋_GB2312" w:hAnsi="仿宋_GB2312" w:eastAsia="仿宋_GB2312" w:cs="仿宋_GB2312"/>
                <w:color w:val="000000"/>
                <w:sz w:val="24"/>
                <w:szCs w:val="24"/>
              </w:rPr>
              <w:t>号</w:t>
            </w:r>
          </w:p>
        </w:tc>
        <w:tc>
          <w:tcPr>
            <w:tcW w:w="7275" w:type="dxa"/>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关于加强村卫生室和乡村医生队伍建设的实施意见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市卫计局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jc w:val="center"/>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2013</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90</w:t>
            </w:r>
            <w:r>
              <w:rPr>
                <w:rFonts w:hint="eastAsia" w:ascii="仿宋_GB2312" w:hAnsi="仿宋_GB2312" w:eastAsia="仿宋_GB2312" w:cs="仿宋_GB2312"/>
                <w:color w:val="000000"/>
                <w:sz w:val="24"/>
                <w:szCs w:val="24"/>
              </w:rPr>
              <w:t>号</w:t>
            </w:r>
          </w:p>
        </w:tc>
        <w:tc>
          <w:tcPr>
            <w:tcW w:w="7275" w:type="dxa"/>
            <w:vAlign w:val="center"/>
          </w:tcPr>
          <w:p>
            <w:pPr>
              <w:widowControl/>
              <w:jc w:val="left"/>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sz w:val="24"/>
                <w:szCs w:val="24"/>
              </w:rPr>
              <w:t>关于印发《滕州市突发环境污染事件应急预案》的通知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jc w:val="center"/>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滕政办发</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2013</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kern w:val="0"/>
                <w:sz w:val="24"/>
                <w:szCs w:val="24"/>
              </w:rPr>
              <w:t>95</w:t>
            </w:r>
            <w:r>
              <w:rPr>
                <w:rFonts w:hint="eastAsia" w:ascii="仿宋_GB2312" w:hAnsi="仿宋_GB2312" w:eastAsia="仿宋_GB2312" w:cs="仿宋_GB2312"/>
                <w:color w:val="000000"/>
                <w:kern w:val="0"/>
                <w:sz w:val="24"/>
                <w:szCs w:val="24"/>
              </w:rPr>
              <w:t>号</w:t>
            </w:r>
          </w:p>
        </w:tc>
        <w:tc>
          <w:tcPr>
            <w:tcW w:w="7275" w:type="dxa"/>
            <w:vAlign w:val="center"/>
          </w:tcPr>
          <w:p>
            <w:pPr>
              <w:widowControl/>
              <w:jc w:val="left"/>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kern w:val="0"/>
                <w:sz w:val="24"/>
                <w:szCs w:val="24"/>
              </w:rPr>
              <w:t>关于印发《</w:t>
            </w:r>
            <w:r>
              <w:rPr>
                <w:rFonts w:ascii="仿宋_GB2312" w:hAnsi="仿宋_GB2312" w:eastAsia="仿宋_GB2312" w:cs="仿宋_GB2312"/>
                <w:color w:val="000000"/>
                <w:kern w:val="0"/>
                <w:sz w:val="24"/>
                <w:szCs w:val="24"/>
              </w:rPr>
              <w:t>2013</w:t>
            </w:r>
            <w:r>
              <w:rPr>
                <w:rFonts w:hint="eastAsia" w:ascii="仿宋_GB2312" w:hAnsi="仿宋_GB2312" w:eastAsia="仿宋_GB2312" w:cs="仿宋_GB2312"/>
                <w:color w:val="000000"/>
                <w:kern w:val="0"/>
                <w:sz w:val="24"/>
                <w:szCs w:val="24"/>
              </w:rPr>
              <w:t>年滕州市玉米“一防双减”补助项目实施方案》的通知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2013</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105</w:t>
            </w:r>
            <w:r>
              <w:rPr>
                <w:rFonts w:hint="eastAsia" w:ascii="仿宋_GB2312" w:hAnsi="仿宋_GB2312" w:eastAsia="仿宋_GB2312" w:cs="仿宋_GB2312"/>
                <w:color w:val="000000"/>
                <w:sz w:val="24"/>
                <w:szCs w:val="24"/>
              </w:rPr>
              <w:t>号</w:t>
            </w:r>
          </w:p>
        </w:tc>
        <w:tc>
          <w:tcPr>
            <w:tcW w:w="7275" w:type="dxa"/>
            <w:vAlign w:val="center"/>
          </w:tcPr>
          <w:p>
            <w:pPr>
              <w:spacing w:line="380" w:lineRule="exact"/>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sz w:val="24"/>
                <w:szCs w:val="24"/>
              </w:rPr>
              <w:t>关于印发《滕州市金融工作联席会议制度》的通知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市金融办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滕政办发〔</w:t>
            </w:r>
            <w:r>
              <w:rPr>
                <w:rFonts w:ascii="仿宋_GB2312" w:hAnsi="仿宋_GB2312" w:eastAsia="仿宋_GB2312" w:cs="仿宋_GB2312"/>
                <w:sz w:val="24"/>
                <w:szCs w:val="24"/>
              </w:rPr>
              <w:t>2013</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163</w:t>
            </w:r>
            <w:r>
              <w:rPr>
                <w:rFonts w:hint="eastAsia" w:ascii="仿宋_GB2312" w:hAnsi="仿宋_GB2312" w:eastAsia="仿宋_GB2312" w:cs="仿宋_GB2312"/>
                <w:sz w:val="24"/>
                <w:szCs w:val="24"/>
              </w:rPr>
              <w:t>号</w:t>
            </w:r>
          </w:p>
        </w:tc>
        <w:tc>
          <w:tcPr>
            <w:tcW w:w="7275" w:type="dxa"/>
            <w:vAlign w:val="center"/>
          </w:tcPr>
          <w:p>
            <w:pPr>
              <w:spacing w:line="380" w:lineRule="exac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关于印发《滕州市重污染天气应急预案》的通知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sz w:val="24"/>
                <w:szCs w:val="24"/>
              </w:rPr>
              <w:t>滕政办发〔</w:t>
            </w:r>
            <w:r>
              <w:rPr>
                <w:rFonts w:ascii="仿宋_GB2312" w:hAnsi="仿宋_GB2312" w:eastAsia="仿宋_GB2312" w:cs="仿宋_GB2312"/>
                <w:sz w:val="24"/>
                <w:szCs w:val="24"/>
              </w:rPr>
              <w:t>2014</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47</w:t>
            </w:r>
            <w:r>
              <w:rPr>
                <w:rFonts w:hint="eastAsia" w:ascii="仿宋_GB2312" w:hAnsi="仿宋_GB2312" w:eastAsia="仿宋_GB2312" w:cs="仿宋_GB2312"/>
                <w:sz w:val="24"/>
                <w:szCs w:val="24"/>
              </w:rPr>
              <w:t>号</w:t>
            </w:r>
          </w:p>
        </w:tc>
        <w:tc>
          <w:tcPr>
            <w:tcW w:w="7275" w:type="dxa"/>
            <w:vAlign w:val="center"/>
          </w:tcPr>
          <w:p>
            <w:pPr>
              <w:spacing w:line="380" w:lineRule="exact"/>
              <w:rPr>
                <w:rFonts w:ascii="仿宋_GB2312" w:hAnsi="仿宋_GB2312" w:eastAsia="仿宋_GB2312" w:cs="Times New Roman"/>
                <w:color w:val="000000"/>
                <w:kern w:val="0"/>
                <w:sz w:val="24"/>
                <w:szCs w:val="24"/>
              </w:rPr>
            </w:pPr>
            <w:r>
              <w:rPr>
                <w:rFonts w:hint="eastAsia" w:ascii="仿宋_GB2312" w:hAnsi="仿宋_GB2312" w:eastAsia="仿宋_GB2312" w:cs="仿宋_GB2312"/>
                <w:sz w:val="24"/>
                <w:szCs w:val="24"/>
              </w:rPr>
              <w:t>关于印发《滕州市石油天然气储运突发事件应急预案》的通知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sz w:val="24"/>
                <w:szCs w:val="24"/>
              </w:rPr>
            </w:pPr>
            <w:r>
              <w:rPr>
                <w:rFonts w:hint="eastAsia" w:ascii="仿宋_GB2312" w:hAnsi="仿宋_GB2312" w:eastAsia="仿宋_GB2312" w:cs="仿宋_GB2312"/>
                <w:sz w:val="24"/>
                <w:szCs w:val="24"/>
              </w:rPr>
              <w:t>滕政办发〔</w:t>
            </w:r>
            <w:r>
              <w:rPr>
                <w:rFonts w:ascii="仿宋_GB2312" w:hAnsi="仿宋_GB2312" w:eastAsia="仿宋_GB2312" w:cs="仿宋_GB2312"/>
                <w:sz w:val="24"/>
                <w:szCs w:val="24"/>
              </w:rPr>
              <w:t>2014</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49</w:t>
            </w:r>
            <w:r>
              <w:rPr>
                <w:rFonts w:hint="eastAsia" w:ascii="仿宋_GB2312" w:hAnsi="仿宋_GB2312" w:eastAsia="仿宋_GB2312" w:cs="仿宋_GB2312"/>
                <w:sz w:val="24"/>
                <w:szCs w:val="24"/>
              </w:rPr>
              <w:t>号</w:t>
            </w:r>
          </w:p>
        </w:tc>
        <w:tc>
          <w:tcPr>
            <w:tcW w:w="7275" w:type="dxa"/>
            <w:vAlign w:val="center"/>
          </w:tcPr>
          <w:p>
            <w:pPr>
              <w:spacing w:line="380" w:lineRule="exac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关于印发《滕州市突发辐射事故应急预案》的通知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2014</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52</w:t>
            </w:r>
            <w:r>
              <w:rPr>
                <w:rFonts w:hint="eastAsia" w:ascii="仿宋_GB2312" w:hAnsi="仿宋_GB2312" w:eastAsia="仿宋_GB2312" w:cs="仿宋_GB2312"/>
                <w:color w:val="000000"/>
                <w:sz w:val="24"/>
                <w:szCs w:val="24"/>
              </w:rPr>
              <w:t>号</w:t>
            </w:r>
          </w:p>
        </w:tc>
        <w:tc>
          <w:tcPr>
            <w:tcW w:w="7275" w:type="dxa"/>
            <w:vAlign w:val="center"/>
          </w:tcPr>
          <w:p>
            <w:pPr>
              <w:spacing w:line="380" w:lineRule="exact"/>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sz w:val="24"/>
                <w:szCs w:val="24"/>
              </w:rPr>
              <w:t>关于印发《滕州市民间融资登记服务公司管理暂行办法》的通知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市金融办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2014</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53</w:t>
            </w:r>
            <w:r>
              <w:rPr>
                <w:rFonts w:hint="eastAsia" w:ascii="仿宋_GB2312" w:hAnsi="仿宋_GB2312" w:eastAsia="仿宋_GB2312" w:cs="仿宋_GB2312"/>
                <w:color w:val="000000"/>
                <w:sz w:val="24"/>
                <w:szCs w:val="24"/>
              </w:rPr>
              <w:t>号</w:t>
            </w:r>
          </w:p>
        </w:tc>
        <w:tc>
          <w:tcPr>
            <w:tcW w:w="7275" w:type="dxa"/>
          </w:tcPr>
          <w:p>
            <w:pPr>
              <w:spacing w:line="380" w:lineRule="exact"/>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sz w:val="24"/>
                <w:szCs w:val="24"/>
              </w:rPr>
              <w:t>关于印发《滕州市民间资本管理公司管理暂行办法》的通知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市金融办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jc w:val="center"/>
              <w:textAlignment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kern w:val="0"/>
                <w:sz w:val="24"/>
                <w:szCs w:val="24"/>
              </w:rPr>
              <w:t>滕政办发〔</w:t>
            </w:r>
            <w:r>
              <w:rPr>
                <w:rFonts w:ascii="仿宋_GB2312" w:hAnsi="仿宋_GB2312" w:eastAsia="仿宋_GB2312" w:cs="仿宋_GB2312"/>
                <w:color w:val="000000"/>
                <w:kern w:val="0"/>
                <w:sz w:val="24"/>
                <w:szCs w:val="24"/>
              </w:rPr>
              <w:t>2014</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72</w:t>
            </w:r>
            <w:r>
              <w:rPr>
                <w:rFonts w:hint="eastAsia" w:ascii="仿宋_GB2312" w:hAnsi="仿宋_GB2312" w:eastAsia="仿宋_GB2312" w:cs="仿宋_GB2312"/>
                <w:color w:val="000000"/>
                <w:kern w:val="0"/>
                <w:sz w:val="24"/>
                <w:szCs w:val="24"/>
              </w:rPr>
              <w:t>号</w:t>
            </w:r>
          </w:p>
        </w:tc>
        <w:tc>
          <w:tcPr>
            <w:tcW w:w="7275" w:type="dxa"/>
            <w:vAlign w:val="center"/>
          </w:tcPr>
          <w:p>
            <w:pPr>
              <w:widowControl/>
              <w:jc w:val="left"/>
              <w:textAlignment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kern w:val="0"/>
                <w:sz w:val="24"/>
                <w:szCs w:val="24"/>
              </w:rPr>
              <w:t>关于印发《</w:t>
            </w:r>
            <w:r>
              <w:rPr>
                <w:rFonts w:ascii="仿宋_GB2312" w:hAnsi="仿宋_GB2312" w:eastAsia="仿宋_GB2312" w:cs="仿宋_GB2312"/>
                <w:color w:val="000000"/>
                <w:kern w:val="0"/>
                <w:sz w:val="24"/>
                <w:szCs w:val="24"/>
              </w:rPr>
              <w:t>2014</w:t>
            </w:r>
            <w:r>
              <w:rPr>
                <w:rFonts w:hint="eastAsia" w:ascii="仿宋_GB2312" w:hAnsi="仿宋_GB2312" w:eastAsia="仿宋_GB2312" w:cs="仿宋_GB2312"/>
                <w:color w:val="000000"/>
                <w:kern w:val="0"/>
                <w:sz w:val="24"/>
                <w:szCs w:val="24"/>
              </w:rPr>
              <w:t>年滕州市中央测土配方施肥补贴项目实施方案》的通知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pacing w:val="-4"/>
                <w:sz w:val="24"/>
                <w:szCs w:val="24"/>
              </w:rPr>
            </w:pPr>
          </w:p>
        </w:tc>
        <w:tc>
          <w:tcPr>
            <w:tcW w:w="2790" w:type="dxa"/>
            <w:vAlign w:val="center"/>
          </w:tcPr>
          <w:p>
            <w:pPr>
              <w:spacing w:line="380" w:lineRule="exact"/>
              <w:jc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2015</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13</w:t>
            </w:r>
            <w:r>
              <w:rPr>
                <w:rFonts w:hint="eastAsia" w:ascii="仿宋_GB2312" w:hAnsi="仿宋_GB2312" w:eastAsia="仿宋_GB2312" w:cs="仿宋_GB2312"/>
                <w:color w:val="000000"/>
                <w:sz w:val="24"/>
                <w:szCs w:val="24"/>
              </w:rPr>
              <w:t>号</w:t>
            </w:r>
          </w:p>
        </w:tc>
        <w:tc>
          <w:tcPr>
            <w:tcW w:w="7275" w:type="dxa"/>
          </w:tcPr>
          <w:p>
            <w:pPr>
              <w:spacing w:line="380" w:lineRule="exact"/>
              <w:rPr>
                <w:rFonts w:ascii="仿宋_GB2312" w:hAnsi="仿宋_GB2312" w:eastAsia="仿宋_GB2312" w:cs="Times New Roman"/>
                <w:color w:val="000000"/>
                <w:kern w:val="0"/>
                <w:sz w:val="24"/>
                <w:szCs w:val="24"/>
              </w:rPr>
            </w:pPr>
            <w:r>
              <w:rPr>
                <w:rFonts w:hint="eastAsia" w:ascii="仿宋_GB2312" w:hAnsi="仿宋_GB2312" w:eastAsia="仿宋_GB2312" w:cs="仿宋_GB2312"/>
                <w:sz w:val="24"/>
                <w:szCs w:val="24"/>
              </w:rPr>
              <w:t>关于调整城镇职工医疗保险个人账户金划拨办法的通知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pacing w:val="-4"/>
                <w:sz w:val="24"/>
                <w:szCs w:val="24"/>
              </w:rPr>
            </w:pPr>
          </w:p>
        </w:tc>
        <w:tc>
          <w:tcPr>
            <w:tcW w:w="2790" w:type="dxa"/>
            <w:vAlign w:val="center"/>
          </w:tcPr>
          <w:p>
            <w:pPr>
              <w:widowControl/>
              <w:jc w:val="center"/>
              <w:textAlignment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kern w:val="0"/>
                <w:sz w:val="24"/>
                <w:szCs w:val="24"/>
              </w:rPr>
              <w:t>滕政办发〔</w:t>
            </w:r>
            <w:r>
              <w:rPr>
                <w:rFonts w:ascii="仿宋_GB2312" w:hAnsi="仿宋_GB2312" w:eastAsia="仿宋_GB2312" w:cs="仿宋_GB2312"/>
                <w:color w:val="000000"/>
                <w:kern w:val="0"/>
                <w:sz w:val="24"/>
                <w:szCs w:val="24"/>
              </w:rPr>
              <w:t>2015</w:t>
            </w:r>
            <w:r>
              <w:rPr>
                <w:rFonts w:hint="eastAsia" w:ascii="仿宋_GB2312" w:hAnsi="仿宋_GB2312" w:eastAsia="仿宋_GB2312" w:cs="仿宋_GB2312"/>
                <w:color w:val="000000"/>
                <w:kern w:val="0"/>
                <w:sz w:val="24"/>
                <w:szCs w:val="24"/>
              </w:rPr>
              <w:t>〕</w:t>
            </w:r>
            <w:r>
              <w:rPr>
                <w:rFonts w:ascii="仿宋_GB2312" w:hAnsi="仿宋_GB2312" w:eastAsia="仿宋_GB2312" w:cs="仿宋_GB2312"/>
                <w:color w:val="000000"/>
                <w:kern w:val="0"/>
                <w:sz w:val="24"/>
                <w:szCs w:val="24"/>
              </w:rPr>
              <w:t>68</w:t>
            </w:r>
            <w:r>
              <w:rPr>
                <w:rFonts w:hint="eastAsia" w:ascii="仿宋_GB2312" w:hAnsi="仿宋_GB2312" w:eastAsia="仿宋_GB2312" w:cs="仿宋_GB2312"/>
                <w:color w:val="000000"/>
                <w:kern w:val="0"/>
                <w:sz w:val="24"/>
                <w:szCs w:val="24"/>
              </w:rPr>
              <w:t>号</w:t>
            </w:r>
          </w:p>
        </w:tc>
        <w:tc>
          <w:tcPr>
            <w:tcW w:w="7275" w:type="dxa"/>
            <w:vAlign w:val="center"/>
          </w:tcPr>
          <w:p>
            <w:pPr>
              <w:widowControl/>
              <w:jc w:val="left"/>
              <w:textAlignment w:val="center"/>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关于印发《滕州市</w:t>
            </w:r>
            <w:r>
              <w:rPr>
                <w:rFonts w:ascii="仿宋_GB2312" w:hAnsi="仿宋_GB2312" w:eastAsia="仿宋_GB2312" w:cs="仿宋_GB2312"/>
                <w:color w:val="000000"/>
                <w:kern w:val="0"/>
                <w:sz w:val="24"/>
                <w:szCs w:val="24"/>
              </w:rPr>
              <w:t>2015</w:t>
            </w:r>
            <w:r>
              <w:rPr>
                <w:rFonts w:hint="eastAsia" w:ascii="仿宋_GB2312" w:hAnsi="仿宋_GB2312" w:eastAsia="仿宋_GB2312" w:cs="仿宋_GB2312"/>
                <w:color w:val="000000"/>
                <w:kern w:val="0"/>
                <w:sz w:val="24"/>
                <w:szCs w:val="24"/>
              </w:rPr>
              <w:t>年测土配方施肥补贴项目实施方案》的通知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市农业局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滕政办发</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2016</w:t>
            </w:r>
            <w:r>
              <w:rPr>
                <w:rFonts w:hint="eastAsia" w:ascii="仿宋_GB2312" w:hAnsi="仿宋_GB2312" w:eastAsia="仿宋_GB2312" w:cs="仿宋_GB2312"/>
                <w:color w:val="000000"/>
                <w:sz w:val="24"/>
                <w:szCs w:val="24"/>
              </w:rPr>
              <w:t>〕</w:t>
            </w:r>
            <w:r>
              <w:rPr>
                <w:rFonts w:ascii="仿宋_GB2312" w:hAnsi="仿宋_GB2312" w:eastAsia="仿宋_GB2312" w:cs="仿宋_GB2312"/>
                <w:sz w:val="24"/>
                <w:szCs w:val="24"/>
              </w:rPr>
              <w:t>32</w:t>
            </w:r>
            <w:r>
              <w:rPr>
                <w:rFonts w:hint="eastAsia" w:ascii="仿宋_GB2312" w:hAnsi="仿宋_GB2312" w:eastAsia="仿宋_GB2312" w:cs="仿宋_GB2312"/>
                <w:sz w:val="24"/>
                <w:szCs w:val="24"/>
              </w:rPr>
              <w:t>号</w:t>
            </w:r>
          </w:p>
        </w:tc>
        <w:tc>
          <w:tcPr>
            <w:tcW w:w="7275" w:type="dxa"/>
          </w:tcPr>
          <w:p>
            <w:pPr>
              <w:spacing w:line="380" w:lineRule="exact"/>
              <w:rPr>
                <w:rFonts w:ascii="仿宋_GB2312" w:hAnsi="仿宋_GB2312" w:eastAsia="仿宋_GB2312" w:cs="Times New Roman"/>
                <w:color w:val="000000"/>
                <w:sz w:val="24"/>
                <w:szCs w:val="24"/>
              </w:rPr>
            </w:pPr>
            <w:r>
              <w:rPr>
                <w:rFonts w:hint="eastAsia" w:ascii="仿宋_GB2312" w:hAnsi="仿宋_GB2312" w:eastAsia="仿宋_GB2312" w:cs="仿宋_GB2312"/>
                <w:sz w:val="24"/>
                <w:szCs w:val="24"/>
              </w:rPr>
              <w:t>关于印发《滕州市中小企业公共服务平台运营管理绩效考评暂行办法》的通知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jc w:val="center"/>
              <w:textAlignment w:val="center"/>
              <w:rPr>
                <w:rFonts w:ascii="仿宋_GB2312" w:hAnsi="仿宋_GB2312" w:eastAsia="仿宋_GB2312" w:cs="Times New Roman"/>
                <w:sz w:val="24"/>
                <w:szCs w:val="24"/>
              </w:rPr>
            </w:pPr>
            <w:r>
              <w:rPr>
                <w:rFonts w:hint="eastAsia" w:ascii="仿宋_GB2312" w:hAnsi="仿宋_GB2312" w:eastAsia="仿宋_GB2312" w:cs="仿宋_GB2312"/>
                <w:sz w:val="24"/>
                <w:szCs w:val="24"/>
              </w:rPr>
              <w:t>滕政办发〔</w:t>
            </w:r>
            <w:r>
              <w:rPr>
                <w:rFonts w:ascii="仿宋_GB2312" w:hAnsi="仿宋_GB2312" w:eastAsia="仿宋_GB2312" w:cs="仿宋_GB2312"/>
                <w:sz w:val="24"/>
                <w:szCs w:val="24"/>
              </w:rPr>
              <w:t>2016</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59</w:t>
            </w:r>
            <w:r>
              <w:rPr>
                <w:rFonts w:hint="eastAsia" w:ascii="仿宋_GB2312" w:hAnsi="仿宋_GB2312" w:eastAsia="仿宋_GB2312" w:cs="仿宋_GB2312"/>
                <w:sz w:val="24"/>
                <w:szCs w:val="24"/>
              </w:rPr>
              <w:t>号</w:t>
            </w:r>
          </w:p>
        </w:tc>
        <w:tc>
          <w:tcPr>
            <w:tcW w:w="7275" w:type="dxa"/>
            <w:vAlign w:val="center"/>
          </w:tcPr>
          <w:p>
            <w:pPr>
              <w:widowControl/>
              <w:jc w:val="left"/>
              <w:textAlignment w:val="center"/>
              <w:rPr>
                <w:rFonts w:ascii="仿宋_GB2312" w:hAnsi="仿宋_GB2312" w:eastAsia="仿宋_GB2312" w:cs="Times New Roman"/>
                <w:sz w:val="24"/>
                <w:szCs w:val="24"/>
              </w:rPr>
            </w:pPr>
            <w:r>
              <w:rPr>
                <w:rFonts w:hint="eastAsia" w:ascii="仿宋_GB2312" w:hAnsi="仿宋_GB2312" w:eastAsia="仿宋_GB2312" w:cs="仿宋_GB2312"/>
                <w:sz w:val="24"/>
                <w:szCs w:val="24"/>
              </w:rPr>
              <w:t>关于转发《枣庄市人民政府办公室关于开展全市燃煤锅炉综合整治的通知》的通知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34</w:t>
            </w:r>
            <w:r>
              <w:rPr>
                <w:rFonts w:hint="eastAsia" w:ascii="仿宋_GB2312" w:hAnsi="仿宋_GB2312" w:eastAsia="仿宋_GB2312" w:cs="仿宋_GB2312"/>
                <w:color w:val="000000"/>
                <w:sz w:val="24"/>
                <w:szCs w:val="24"/>
              </w:rPr>
              <w:t>号</w:t>
            </w:r>
          </w:p>
        </w:tc>
        <w:tc>
          <w:tcPr>
            <w:tcW w:w="7275"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sz w:val="24"/>
                <w:szCs w:val="24"/>
              </w:rPr>
              <w:t>关于印发《</w:t>
            </w:r>
            <w:r>
              <w:rPr>
                <w:rFonts w:ascii="仿宋_GB2312" w:hAnsi="仿宋_GB2312" w:eastAsia="仿宋_GB2312" w:cs="仿宋_GB2312"/>
                <w:sz w:val="24"/>
                <w:szCs w:val="24"/>
              </w:rPr>
              <w:t>2017</w:t>
            </w:r>
            <w:r>
              <w:rPr>
                <w:rFonts w:hint="eastAsia" w:ascii="仿宋_GB2312" w:hAnsi="仿宋_GB2312" w:eastAsia="仿宋_GB2312" w:cs="仿宋_GB2312"/>
                <w:sz w:val="24"/>
                <w:szCs w:val="24"/>
              </w:rPr>
              <w:t>年滕州市工业经济工作要点》的通知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市经信局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58</w:t>
            </w:r>
            <w:r>
              <w:rPr>
                <w:rFonts w:hint="eastAsia" w:ascii="仿宋_GB2312" w:hAnsi="仿宋_GB2312" w:eastAsia="仿宋_GB2312" w:cs="仿宋_GB2312"/>
                <w:color w:val="000000"/>
                <w:sz w:val="24"/>
                <w:szCs w:val="24"/>
              </w:rPr>
              <w:t>号</w:t>
            </w:r>
          </w:p>
        </w:tc>
        <w:tc>
          <w:tcPr>
            <w:tcW w:w="7275" w:type="dxa"/>
            <w:vAlign w:val="center"/>
          </w:tcPr>
          <w:p>
            <w:pPr>
              <w:spacing w:line="380" w:lineRule="exact"/>
              <w:rPr>
                <w:rFonts w:ascii="仿宋_GB2312" w:hAnsi="仿宋_GB2312" w:eastAsia="仿宋_GB2312" w:cs="Times New Roman"/>
                <w:color w:val="000000"/>
                <w:kern w:val="0"/>
                <w:sz w:val="24"/>
                <w:szCs w:val="24"/>
              </w:rPr>
            </w:pPr>
            <w:r>
              <w:rPr>
                <w:rFonts w:hint="eastAsia" w:ascii="仿宋_GB2312" w:hAnsi="仿宋_GB2312" w:eastAsia="仿宋_GB2312" w:cs="仿宋_GB2312"/>
                <w:sz w:val="24"/>
                <w:szCs w:val="24"/>
              </w:rPr>
              <w:t>关于开展住宅小区物业管理提升年活动的实施意见</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jc w:val="center"/>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sz w:val="24"/>
                <w:szCs w:val="24"/>
              </w:rPr>
              <w:t>滕政办发〔</w:t>
            </w:r>
            <w:r>
              <w:rPr>
                <w:rFonts w:ascii="仿宋_GB2312" w:hAnsi="仿宋_GB2312" w:eastAsia="仿宋_GB2312" w:cs="仿宋_GB2312"/>
                <w:sz w:val="24"/>
                <w:szCs w:val="24"/>
              </w:rPr>
              <w:t>2017</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78</w:t>
            </w:r>
            <w:r>
              <w:rPr>
                <w:rFonts w:hint="eastAsia" w:ascii="仿宋_GB2312" w:hAnsi="仿宋_GB2312" w:eastAsia="仿宋_GB2312" w:cs="仿宋_GB2312"/>
                <w:sz w:val="24"/>
                <w:szCs w:val="24"/>
              </w:rPr>
              <w:t>号</w:t>
            </w:r>
          </w:p>
        </w:tc>
        <w:tc>
          <w:tcPr>
            <w:tcW w:w="7275" w:type="dxa"/>
            <w:vAlign w:val="center"/>
          </w:tcPr>
          <w:p>
            <w:pPr>
              <w:widowControl/>
              <w:jc w:val="left"/>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sz w:val="24"/>
                <w:szCs w:val="24"/>
              </w:rPr>
              <w:t>关于印发《滕州市加强大气污染防治工作实施方案》的通知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widowControl/>
              <w:jc w:val="center"/>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sz w:val="24"/>
                <w:szCs w:val="24"/>
              </w:rPr>
              <w:t>滕政办发〔</w:t>
            </w:r>
            <w:r>
              <w:rPr>
                <w:rFonts w:ascii="仿宋_GB2312" w:hAnsi="仿宋_GB2312" w:eastAsia="仿宋_GB2312" w:cs="仿宋_GB2312"/>
                <w:sz w:val="24"/>
                <w:szCs w:val="24"/>
              </w:rPr>
              <w:t>2017</w:t>
            </w:r>
            <w:r>
              <w:rPr>
                <w:rFonts w:hint="eastAsia" w:ascii="仿宋_GB2312" w:hAnsi="仿宋_GB2312" w:eastAsia="仿宋_GB2312" w:cs="仿宋_GB2312"/>
                <w:sz w:val="24"/>
                <w:szCs w:val="24"/>
              </w:rPr>
              <w:t>〕</w:t>
            </w:r>
            <w:r>
              <w:rPr>
                <w:rFonts w:ascii="仿宋_GB2312" w:hAnsi="仿宋_GB2312" w:eastAsia="仿宋_GB2312" w:cs="仿宋_GB2312"/>
                <w:sz w:val="24"/>
                <w:szCs w:val="24"/>
              </w:rPr>
              <w:t>93</w:t>
            </w:r>
            <w:r>
              <w:rPr>
                <w:rFonts w:hint="eastAsia" w:ascii="仿宋_GB2312" w:hAnsi="仿宋_GB2312" w:eastAsia="仿宋_GB2312" w:cs="仿宋_GB2312"/>
                <w:sz w:val="24"/>
                <w:szCs w:val="24"/>
              </w:rPr>
              <w:t>号</w:t>
            </w:r>
          </w:p>
        </w:tc>
        <w:tc>
          <w:tcPr>
            <w:tcW w:w="7275" w:type="dxa"/>
            <w:vAlign w:val="center"/>
          </w:tcPr>
          <w:p>
            <w:pPr>
              <w:widowControl/>
              <w:jc w:val="left"/>
              <w:textAlignment w:val="center"/>
              <w:rPr>
                <w:rFonts w:ascii="仿宋_GB2312" w:hAnsi="仿宋_GB2312" w:eastAsia="仿宋_GB2312" w:cs="Times New Roman"/>
                <w:color w:val="000000"/>
                <w:kern w:val="0"/>
                <w:sz w:val="24"/>
                <w:szCs w:val="24"/>
              </w:rPr>
            </w:pPr>
            <w:r>
              <w:rPr>
                <w:rFonts w:hint="eastAsia" w:ascii="仿宋_GB2312" w:hAnsi="仿宋_GB2312" w:eastAsia="仿宋_GB2312" w:cs="仿宋_GB2312"/>
                <w:sz w:val="24"/>
                <w:szCs w:val="24"/>
              </w:rPr>
              <w:t>关于印发《关于开展燃煤小锅炉专项整治工作的实施方案》的通知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市环保局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19" w:type="dxa"/>
            <w:vAlign w:val="center"/>
          </w:tcPr>
          <w:p>
            <w:pPr>
              <w:numPr>
                <w:ilvl w:val="0"/>
                <w:numId w:val="2"/>
              </w:numPr>
              <w:spacing w:line="380" w:lineRule="exact"/>
              <w:rPr>
                <w:rFonts w:ascii="仿宋_GB2312" w:hAnsi="仿宋_GB2312" w:eastAsia="仿宋_GB2312" w:cs="Times New Roman"/>
                <w:color w:val="000000"/>
                <w:sz w:val="24"/>
                <w:szCs w:val="24"/>
              </w:rPr>
            </w:pPr>
          </w:p>
        </w:tc>
        <w:tc>
          <w:tcPr>
            <w:tcW w:w="2790" w:type="dxa"/>
            <w:vAlign w:val="center"/>
          </w:tcPr>
          <w:p>
            <w:pPr>
              <w:spacing w:line="380" w:lineRule="exact"/>
              <w:jc w:val="center"/>
              <w:rPr>
                <w:rFonts w:ascii="仿宋_GB2312" w:hAnsi="仿宋_GB2312" w:eastAsia="仿宋_GB2312" w:cs="Times New Roman"/>
                <w:sz w:val="24"/>
                <w:szCs w:val="24"/>
              </w:rPr>
            </w:pPr>
            <w:r>
              <w:rPr>
                <w:rFonts w:hint="eastAsia" w:ascii="仿宋_GB2312" w:hAnsi="仿宋_GB2312" w:eastAsia="仿宋_GB2312" w:cs="仿宋_GB2312"/>
                <w:color w:val="000000"/>
                <w:sz w:val="24"/>
                <w:szCs w:val="24"/>
              </w:rPr>
              <w:t>滕政办发〔</w:t>
            </w:r>
            <w:r>
              <w:rPr>
                <w:rFonts w:ascii="仿宋_GB2312" w:hAnsi="仿宋_GB2312" w:eastAsia="仿宋_GB2312" w:cs="仿宋_GB2312"/>
                <w:color w:val="000000"/>
                <w:sz w:val="24"/>
                <w:szCs w:val="24"/>
              </w:rPr>
              <w:t>2017</w:t>
            </w:r>
            <w:r>
              <w:rPr>
                <w:rFonts w:hint="eastAsia" w:ascii="仿宋_GB2312" w:hAnsi="仿宋_GB2312" w:eastAsia="仿宋_GB2312" w:cs="仿宋_GB2312"/>
                <w:color w:val="000000"/>
                <w:sz w:val="24"/>
                <w:szCs w:val="24"/>
              </w:rPr>
              <w:t>〕</w:t>
            </w:r>
            <w:r>
              <w:rPr>
                <w:rFonts w:ascii="仿宋_GB2312" w:hAnsi="仿宋_GB2312" w:eastAsia="仿宋_GB2312" w:cs="仿宋_GB2312"/>
                <w:color w:val="000000"/>
                <w:sz w:val="24"/>
                <w:szCs w:val="24"/>
              </w:rPr>
              <w:t>125</w:t>
            </w:r>
            <w:r>
              <w:rPr>
                <w:rFonts w:hint="eastAsia" w:ascii="仿宋_GB2312" w:hAnsi="仿宋_GB2312" w:eastAsia="仿宋_GB2312" w:cs="仿宋_GB2312"/>
                <w:color w:val="000000"/>
                <w:sz w:val="24"/>
                <w:szCs w:val="24"/>
              </w:rPr>
              <w:t>号</w:t>
            </w:r>
          </w:p>
        </w:tc>
        <w:tc>
          <w:tcPr>
            <w:tcW w:w="7275" w:type="dxa"/>
            <w:vAlign w:val="center"/>
          </w:tcPr>
          <w:p>
            <w:pPr>
              <w:spacing w:line="380" w:lineRule="exact"/>
              <w:jc w:val="left"/>
              <w:rPr>
                <w:rFonts w:ascii="仿宋_GB2312" w:hAnsi="仿宋_GB2312" w:eastAsia="仿宋_GB2312" w:cs="Times New Roman"/>
                <w:sz w:val="24"/>
                <w:szCs w:val="24"/>
              </w:rPr>
            </w:pPr>
            <w:r>
              <w:rPr>
                <w:rFonts w:hint="eastAsia" w:ascii="仿宋_GB2312" w:hAnsi="仿宋_GB2312" w:eastAsia="仿宋_GB2312" w:cs="仿宋_GB2312"/>
                <w:color w:val="000000"/>
                <w:kern w:val="0"/>
                <w:sz w:val="24"/>
                <w:szCs w:val="24"/>
              </w:rPr>
              <w:t>关于印发《滕州市森林保险工作实施方案》的通知</w:t>
            </w:r>
          </w:p>
        </w:tc>
        <w:tc>
          <w:tcPr>
            <w:tcW w:w="2896" w:type="dxa"/>
            <w:vAlign w:val="center"/>
          </w:tcPr>
          <w:p>
            <w:pPr>
              <w:spacing w:line="380" w:lineRule="exact"/>
              <w:jc w:val="center"/>
              <w:rPr>
                <w:rFonts w:ascii="仿宋_GB2312" w:hAnsi="仿宋_GB2312" w:eastAsia="仿宋_GB2312" w:cs="Times New Roman"/>
                <w:color w:val="000000"/>
                <w:sz w:val="24"/>
                <w:szCs w:val="24"/>
              </w:rPr>
            </w:pPr>
            <w:r>
              <w:rPr>
                <w:rFonts w:hint="eastAsia" w:ascii="仿宋_GB2312" w:hAnsi="仿宋_GB2312" w:eastAsia="仿宋_GB2312" w:cs="仿宋_GB2312"/>
                <w:color w:val="000000"/>
                <w:sz w:val="24"/>
                <w:szCs w:val="24"/>
              </w:rPr>
              <w:t>市林业局</w:t>
            </w:r>
          </w:p>
        </w:tc>
      </w:tr>
    </w:tbl>
    <w:p>
      <w:pPr>
        <w:rPr>
          <w:rFonts w:ascii="仿宋_GB2312" w:hAnsi="仿宋_GB2312" w:eastAsia="仿宋_GB2312" w:cs="Times New Roman"/>
          <w:sz w:val="24"/>
          <w:szCs w:val="24"/>
        </w:rPr>
      </w:pPr>
    </w:p>
    <w:p>
      <w:pPr>
        <w:rPr>
          <w:rFonts w:cs="Times New Roman"/>
        </w:rPr>
      </w:pPr>
    </w:p>
    <w:p>
      <w:pPr>
        <w:rPr>
          <w:rFonts w:cs="Times New Roman"/>
        </w:rPr>
      </w:pPr>
    </w:p>
    <w:p>
      <w:pPr>
        <w:rPr>
          <w:rFonts w:cs="Times New Roman"/>
        </w:rPr>
        <w:sectPr>
          <w:pgSz w:w="16838" w:h="11906" w:orient="landscape"/>
          <w:pgMar w:top="1800" w:right="1440" w:bottom="1800" w:left="1440" w:header="851" w:footer="992" w:gutter="0"/>
          <w:pgNumType w:fmt="numberInDash"/>
          <w:cols w:space="425" w:num="1"/>
          <w:docGrid w:type="lines" w:linePitch="312" w:charSpace="0"/>
        </w:sectPr>
      </w:pPr>
    </w:p>
    <w:p>
      <w:pPr>
        <w:widowControl/>
        <w:spacing w:line="340" w:lineRule="exact"/>
        <w:rPr>
          <w:rFonts w:ascii="仿宋_GB2312" w:hAnsi="Times New Roman" w:eastAsia="仿宋_GB2312" w:cs="Times New Roman"/>
          <w:color w:val="000000"/>
          <w:sz w:val="32"/>
          <w:szCs w:val="32"/>
        </w:rPr>
      </w:pPr>
      <w:r>
        <w:rPr>
          <w:rFonts w:hint="eastAsia" w:ascii="仿宋_GB2312" w:hAnsi="Times New Roman" w:eastAsia="仿宋_GB2312" w:cs="仿宋_GB2312"/>
          <w:color w:val="000000"/>
          <w:sz w:val="32"/>
          <w:szCs w:val="32"/>
        </w:rPr>
        <w:t>（此页无正文）</w:t>
      </w: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340" w:lineRule="exact"/>
        <w:ind w:firstLine="640"/>
        <w:rPr>
          <w:rFonts w:ascii="仿宋_GB2312" w:hAnsi="Times New Roman" w:eastAsia="仿宋_GB2312" w:cs="Times New Roman"/>
          <w:color w:val="000000"/>
          <w:sz w:val="32"/>
          <w:szCs w:val="32"/>
        </w:rPr>
      </w:pPr>
    </w:p>
    <w:p>
      <w:pPr>
        <w:widowControl/>
        <w:spacing w:line="200" w:lineRule="exact"/>
        <w:rPr>
          <w:rFonts w:ascii="黑体" w:hAnsi="Times New Roman" w:eastAsia="黑体" w:cs="Times New Roman"/>
          <w:color w:val="000000"/>
          <w:sz w:val="28"/>
          <w:szCs w:val="28"/>
        </w:rPr>
      </w:pPr>
    </w:p>
    <w:p>
      <w:pPr>
        <w:widowControl/>
        <w:spacing w:line="200" w:lineRule="exact"/>
        <w:rPr>
          <w:rFonts w:ascii="黑体" w:hAnsi="Times New Roman" w:eastAsia="黑体" w:cs="Times New Roman"/>
          <w:color w:val="000000"/>
          <w:sz w:val="28"/>
          <w:szCs w:val="28"/>
        </w:rPr>
      </w:pPr>
    </w:p>
    <w:p>
      <w:pPr>
        <w:widowControl/>
        <w:spacing w:line="200" w:lineRule="exact"/>
        <w:rPr>
          <w:rFonts w:ascii="黑体" w:hAnsi="Times New Roman" w:eastAsia="黑体" w:cs="Times New Roman"/>
          <w:color w:val="000000"/>
          <w:sz w:val="28"/>
          <w:szCs w:val="28"/>
        </w:rPr>
      </w:pPr>
    </w:p>
    <w:p>
      <w:pPr>
        <w:widowControl/>
        <w:spacing w:line="200" w:lineRule="exact"/>
        <w:rPr>
          <w:rFonts w:ascii="黑体" w:hAnsi="Times New Roman" w:eastAsia="黑体" w:cs="Times New Roman"/>
          <w:color w:val="000000"/>
          <w:sz w:val="28"/>
          <w:szCs w:val="28"/>
        </w:rPr>
      </w:pPr>
    </w:p>
    <w:p>
      <w:pPr>
        <w:widowControl/>
        <w:spacing w:line="200" w:lineRule="exact"/>
        <w:rPr>
          <w:rFonts w:ascii="黑体" w:hAnsi="Times New Roman" w:eastAsia="黑体" w:cs="Times New Roman"/>
          <w:color w:val="000000"/>
          <w:sz w:val="28"/>
          <w:szCs w:val="28"/>
        </w:rPr>
      </w:pPr>
      <w:r>
        <mc:AlternateContent>
          <mc:Choice Requires="wps">
            <w:drawing>
              <wp:anchor distT="0" distB="0" distL="114300" distR="114300" simplePos="0" relativeHeight="251656192" behindDoc="0" locked="0" layoutInCell="1" allowOverlap="1">
                <wp:simplePos x="0" y="0"/>
                <wp:positionH relativeFrom="column">
                  <wp:posOffset>0</wp:posOffset>
                </wp:positionH>
                <wp:positionV relativeFrom="paragraph">
                  <wp:posOffset>40640</wp:posOffset>
                </wp:positionV>
                <wp:extent cx="5400040" cy="25400"/>
                <wp:effectExtent l="0" t="9525" r="10160" b="10795"/>
                <wp:wrapNone/>
                <wp:docPr id="1" name="直线 5"/>
                <wp:cNvGraphicFramePr/>
                <a:graphic xmlns:a="http://schemas.openxmlformats.org/drawingml/2006/main">
                  <a:graphicData uri="http://schemas.microsoft.com/office/word/2010/wordprocessingShape">
                    <wps:wsp>
                      <wps:cNvCnPr/>
                      <wps:spPr>
                        <a:xfrm>
                          <a:off x="0" y="0"/>
                          <a:ext cx="5400040" cy="25400"/>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直线 5" o:spid="_x0000_s1026" o:spt="20" style="position:absolute;left:0pt;margin-left:0pt;margin-top:3.2pt;height:2pt;width:425.2pt;z-index:251656192;mso-width-relative:page;mso-height-relative:page;" filled="f" stroked="t" coordsize="21600,21600" o:gfxdata="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A56cOc0gAAAAUBAAAP&#10;AAAAAAAAAAEAIAAAADgAAABkcnMvZG93bnJldi54bWxQSwECFAAUAAAACACHTuJAcIMHw88BAACV&#10;AwAADgAAAAAAAAABACAAAAA3AQAAZHJzL2Uyb0RvYy54bWxQSwUGAAAAAAYABgBZAQAAeAUAAAAA&#10;">
                <v:fill on="f" focussize="0,0"/>
                <v:stroke weight="1.5pt" color="#000000" joinstyle="round"/>
                <v:imagedata o:title=""/>
                <o:lock v:ext="edit" aspectratio="f"/>
              </v:line>
            </w:pict>
          </mc:Fallback>
        </mc:AlternateContent>
      </w:r>
    </w:p>
    <w:p>
      <w:pPr>
        <w:widowControl/>
        <w:spacing w:line="340" w:lineRule="exact"/>
        <w:ind w:left="31680" w:hanging="1124" w:hangingChars="400"/>
        <w:rPr>
          <w:rFonts w:ascii="仿宋_GB2312" w:hAnsi="Times New Roman" w:eastAsia="仿宋_GB2312" w:cs="Times New Roman"/>
          <w:color w:val="000000"/>
          <w:sz w:val="28"/>
          <w:szCs w:val="28"/>
        </w:rPr>
      </w:pPr>
      <w:r>
        <w:rPr>
          <w:rFonts w:hint="eastAsia" w:ascii="仿宋_GB2312" w:hAnsi="Times New Roman" w:eastAsia="仿宋_GB2312" w:cs="仿宋_GB2312"/>
          <w:b/>
          <w:bCs/>
          <w:color w:val="000000"/>
          <w:sz w:val="28"/>
          <w:szCs w:val="28"/>
        </w:rPr>
        <w:t>抄</w:t>
      </w:r>
      <w:r>
        <w:rPr>
          <w:rFonts w:ascii="仿宋_GB2312" w:hAnsi="Times New Roman" w:eastAsia="仿宋_GB2312" w:cs="仿宋_GB2312"/>
          <w:b/>
          <w:bCs/>
          <w:color w:val="000000"/>
          <w:sz w:val="28"/>
          <w:szCs w:val="28"/>
        </w:rPr>
        <w:t xml:space="preserve">  </w:t>
      </w:r>
      <w:r>
        <w:rPr>
          <w:rFonts w:hint="eastAsia" w:ascii="仿宋_GB2312" w:hAnsi="Times New Roman" w:eastAsia="仿宋_GB2312" w:cs="仿宋_GB2312"/>
          <w:b/>
          <w:bCs/>
          <w:color w:val="000000"/>
          <w:sz w:val="28"/>
          <w:szCs w:val="28"/>
        </w:rPr>
        <w:t>送：</w:t>
      </w:r>
      <w:r>
        <w:rPr>
          <w:rFonts w:hint="eastAsia" w:ascii="仿宋_GB2312" w:hAnsi="Times New Roman" w:eastAsia="仿宋_GB2312" w:cs="仿宋_GB2312"/>
          <w:color w:val="000000"/>
          <w:sz w:val="28"/>
          <w:szCs w:val="28"/>
        </w:rPr>
        <w:t>市委各部门，市人大常委会办公室，市政协办公室，市监察委，市法院，市检察院，市人武部。</w:t>
      </w:r>
    </w:p>
    <w:p>
      <w:pPr>
        <w:widowControl/>
        <w:spacing w:line="240" w:lineRule="exact"/>
        <w:ind w:right="29" w:rightChars="14" w:firstLine="560"/>
        <w:rPr>
          <w:rFonts w:ascii="仿宋_GB2312" w:hAnsi="Times New Roman" w:eastAsia="仿宋_GB2312" w:cs="Times New Roman"/>
          <w:color w:val="000000"/>
          <w:sz w:val="28"/>
          <w:szCs w:val="28"/>
        </w:rPr>
      </w:pPr>
      <w: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76200</wp:posOffset>
                </wp:positionV>
                <wp:extent cx="5400040" cy="0"/>
                <wp:effectExtent l="0" t="0" r="0" b="0"/>
                <wp:wrapNone/>
                <wp:docPr id="2" name="直线 6"/>
                <wp:cNvGraphicFramePr/>
                <a:graphic xmlns:a="http://schemas.openxmlformats.org/drawingml/2006/main">
                  <a:graphicData uri="http://schemas.microsoft.com/office/word/2010/wordprocessingShape">
                    <wps:wsp>
                      <wps:cNvCnPr/>
                      <wps:spPr>
                        <a:xfrm>
                          <a:off x="0" y="0"/>
                          <a:ext cx="540004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直线 6" o:spid="_x0000_s1026" o:spt="20" style="position:absolute;left:0pt;margin-left:0pt;margin-top:6pt;height:0pt;width:425.2pt;z-index:251657216;mso-width-relative:page;mso-height-relative:page;" filled="f" stroked="t" coordsize="21600,21600" o:gfxdata="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BYAAABkcnMvUEsBAhQAFAAAAAgAh07iQC/IcEHUAAAABgEA&#10;AA8AAAAAAAAAAQAgAAAAOAAAAGRycy9kb3ducmV2LnhtbFBLAQIUABQAAAAIAIdO4kD4Qpd1zwEA&#10;AJADAAAOAAAAAAAAAAEAIAAAADkBAABkcnMvZTJvRG9jLnhtbFBLBQYAAAAABgAGAFkBAAB6BQAA&#10;AAA=&#10;">
                <v:fill on="f" focussize="0,0"/>
                <v:stroke color="#000000" joinstyle="round"/>
                <v:imagedata o:title=""/>
                <o:lock v:ext="edit" aspectratio="f"/>
              </v:line>
            </w:pict>
          </mc:Fallback>
        </mc:AlternateContent>
      </w:r>
    </w:p>
    <w:p>
      <w:pPr>
        <w:widowControl/>
        <w:spacing w:line="340" w:lineRule="exact"/>
        <w:rPr>
          <w:rFonts w:ascii="仿宋_GB2312" w:hAnsi="仿宋_GB2312" w:eastAsia="仿宋_GB2312" w:cs="Times New Roman"/>
          <w:sz w:val="32"/>
          <w:szCs w:val="32"/>
        </w:rPr>
      </w:pPr>
      <w: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251460</wp:posOffset>
                </wp:positionV>
                <wp:extent cx="5400040" cy="7620"/>
                <wp:effectExtent l="0" t="0" r="0" b="0"/>
                <wp:wrapNone/>
                <wp:docPr id="4" name="直线 7"/>
                <wp:cNvGraphicFramePr/>
                <a:graphic xmlns:a="http://schemas.openxmlformats.org/drawingml/2006/main">
                  <a:graphicData uri="http://schemas.microsoft.com/office/word/2010/wordprocessingShape">
                    <wps:wsp>
                      <wps:cNvCnPr/>
                      <wps:spPr>
                        <a:xfrm>
                          <a:off x="0" y="0"/>
                          <a:ext cx="5400040" cy="7620"/>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直线 7" o:spid="_x0000_s1026" o:spt="20" style="position:absolute;left:0pt;margin-left:0pt;margin-top:19.8pt;height:0.6pt;width:425.2pt;z-index:251658240;mso-width-relative:page;mso-height-relative:page;" filled="f" stroked="t" coordsize="21600,21600" o:gfxdata="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FgAAAGRycy9QSwECFAAUAAAACACHTuJAB0CAKNUA&#10;AAAGAQAADwAAAAAAAAABACAAAAA4AAAAZHJzL2Rvd25yZXYueG1sUEsBAhQAFAAAAAgAh07iQIhr&#10;PjzTAQAAlAMAAA4AAAAAAAAAAQAgAAAAOgEAAGRycy9lMm9Eb2MueG1sUEsFBgAAAAAGAAYAWQEA&#10;AH8FAAAAAA==&#10;">
                <v:fill on="f" focussize="0,0"/>
                <v:stroke weight="1.5pt" color="#000000" joinstyle="round"/>
                <v:imagedata o:title=""/>
                <o:lock v:ext="edit" aspectratio="f"/>
              </v:line>
            </w:pict>
          </mc:Fallback>
        </mc:AlternateContent>
      </w:r>
      <w:r>
        <w:rPr>
          <w:rFonts w:hint="eastAsia" w:ascii="仿宋_GB2312" w:hAnsi="Times New Roman" w:eastAsia="仿宋_GB2312" w:cs="仿宋_GB2312"/>
          <w:color w:val="000000"/>
          <w:sz w:val="28"/>
          <w:szCs w:val="28"/>
        </w:rPr>
        <w:t>滕州市人民政府办公室</w:t>
      </w:r>
      <w:r>
        <w:rPr>
          <w:rFonts w:ascii="仿宋_GB2312" w:hAnsi="Times New Roman" w:eastAsia="仿宋_GB2312" w:cs="仿宋_GB2312"/>
          <w:color w:val="000000"/>
          <w:sz w:val="28"/>
          <w:szCs w:val="28"/>
        </w:rPr>
        <w:t xml:space="preserve">                   2018</w:t>
      </w:r>
      <w:r>
        <w:rPr>
          <w:rFonts w:hint="eastAsia" w:ascii="仿宋_GB2312" w:hAnsi="Times New Roman" w:eastAsia="仿宋_GB2312" w:cs="仿宋_GB2312"/>
          <w:color w:val="000000"/>
          <w:sz w:val="28"/>
          <w:szCs w:val="28"/>
        </w:rPr>
        <w:t>年</w:t>
      </w:r>
      <w:r>
        <w:rPr>
          <w:rFonts w:ascii="仿宋_GB2312" w:hAnsi="Times New Roman" w:eastAsia="仿宋_GB2312" w:cs="仿宋_GB2312"/>
          <w:color w:val="000000"/>
          <w:sz w:val="28"/>
          <w:szCs w:val="28"/>
        </w:rPr>
        <w:t>11</w:t>
      </w:r>
      <w:r>
        <w:rPr>
          <w:rFonts w:hint="eastAsia" w:ascii="仿宋_GB2312" w:hAnsi="Times New Roman" w:eastAsia="仿宋_GB2312" w:cs="仿宋_GB2312"/>
          <w:color w:val="000000"/>
          <w:sz w:val="28"/>
          <w:szCs w:val="28"/>
        </w:rPr>
        <w:t>月</w:t>
      </w:r>
      <w:r>
        <w:rPr>
          <w:rFonts w:ascii="仿宋_GB2312" w:hAnsi="Times New Roman" w:eastAsia="仿宋_GB2312" w:cs="仿宋_GB2312"/>
          <w:color w:val="000000"/>
          <w:sz w:val="28"/>
          <w:szCs w:val="28"/>
        </w:rPr>
        <w:t>30</w:t>
      </w:r>
      <w:r>
        <w:rPr>
          <w:rFonts w:hint="eastAsia" w:ascii="仿宋_GB2312" w:hAnsi="Times New Roman" w:eastAsia="仿宋_GB2312" w:cs="仿宋_GB2312"/>
          <w:color w:val="000000"/>
          <w:sz w:val="28"/>
          <w:szCs w:val="28"/>
        </w:rPr>
        <w:t>日印发</w:t>
      </w:r>
    </w:p>
    <w:sectPr>
      <w:pgSz w:w="11906" w:h="16838"/>
      <w:pgMar w:top="1701" w:right="1701" w:bottom="1701" w:left="1701"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大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cs="Times New Roman"/>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txbx>
                      <w:txbxContent>
                        <w:p>
                          <w:pPr>
                            <w:pStyle w:val="3"/>
                            <w:rPr>
                              <w:rFonts w:ascii="宋体" w:cs="Times New Roman"/>
                              <w:sz w:val="24"/>
                              <w:szCs w:val="24"/>
                            </w:rPr>
                          </w:pPr>
                          <w:r>
                            <w:rPr>
                              <w:rFonts w:ascii="宋体" w:hAnsi="宋体" w:cs="宋体"/>
                              <w:sz w:val="24"/>
                              <w:szCs w:val="24"/>
                            </w:rPr>
                            <w:fldChar w:fldCharType="begin"/>
                          </w:r>
                          <w:r>
                            <w:rPr>
                              <w:rFonts w:ascii="宋体" w:hAnsi="宋体" w:cs="宋体"/>
                              <w:sz w:val="24"/>
                              <w:szCs w:val="24"/>
                            </w:rPr>
                            <w:instrText xml:space="preserve"> PAGE  \* MERGEFORMAT </w:instrText>
                          </w:r>
                          <w:r>
                            <w:rPr>
                              <w:rFonts w:ascii="宋体" w:hAnsi="宋体" w:cs="宋体"/>
                              <w:sz w:val="24"/>
                              <w:szCs w:val="24"/>
                            </w:rPr>
                            <w:fldChar w:fldCharType="separate"/>
                          </w:r>
                          <w:r>
                            <w:rPr>
                              <w:rFonts w:ascii="宋体" w:hAnsi="宋体" w:cs="宋体"/>
                              <w:sz w:val="24"/>
                              <w:szCs w:val="24"/>
                            </w:rPr>
                            <w:t>- 1 -</w:t>
                          </w:r>
                          <w:r>
                            <w:rPr>
                              <w:rFonts w:ascii="宋体" w:hAnsi="宋体" w:cs="宋体"/>
                              <w:sz w:val="24"/>
                              <w:szCs w:val="24"/>
                            </w:rPr>
                            <w:fldChar w:fldCharType="end"/>
                          </w:r>
                        </w:p>
                      </w:txbxContent>
                    </wps:txbx>
                    <wps:bodyPr wrap="none" lIns="0" tIns="0" rIns="0" bIns="0" upright="true">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FgAA&#10;AGRycy9QSwECFAAUAAAACACHTuJAs0lY7tAAAAAFAQAADwAAAAAAAAABACAAAAA4AAAAZHJzL2Rv&#10;d25yZXYueG1sUEsBAhQAFAAAAAgAh07iQA9xlcy6AQAAWgMAAA4AAAAAAAAAAQAgAAAANQEAAGRy&#10;cy9lMm9Eb2MueG1sUEsFBgAAAAAGAAYAWQEAAGEFAAAAAA==&#10;">
              <v:fill on="f" focussize="0,0"/>
              <v:stroke on="f" weight="0.5pt"/>
              <v:imagedata o:title=""/>
              <o:lock v:ext="edit" aspectratio="f"/>
              <v:textbox inset="0mm,0mm,0mm,0mm" style="mso-fit-shape-to-text:t;">
                <w:txbxContent>
                  <w:p>
                    <w:pPr>
                      <w:pStyle w:val="3"/>
                      <w:rPr>
                        <w:rFonts w:ascii="宋体" w:cs="Times New Roman"/>
                        <w:sz w:val="24"/>
                        <w:szCs w:val="24"/>
                      </w:rPr>
                    </w:pPr>
                    <w:r>
                      <w:rPr>
                        <w:rFonts w:ascii="宋体" w:hAnsi="宋体" w:cs="宋体"/>
                        <w:sz w:val="24"/>
                        <w:szCs w:val="24"/>
                      </w:rPr>
                      <w:fldChar w:fldCharType="begin"/>
                    </w:r>
                    <w:r>
                      <w:rPr>
                        <w:rFonts w:ascii="宋体" w:hAnsi="宋体" w:cs="宋体"/>
                        <w:sz w:val="24"/>
                        <w:szCs w:val="24"/>
                      </w:rPr>
                      <w:instrText xml:space="preserve"> PAGE  \* MERGEFORMAT </w:instrText>
                    </w:r>
                    <w:r>
                      <w:rPr>
                        <w:rFonts w:ascii="宋体" w:hAnsi="宋体" w:cs="宋体"/>
                        <w:sz w:val="24"/>
                        <w:szCs w:val="24"/>
                      </w:rPr>
                      <w:fldChar w:fldCharType="separate"/>
                    </w:r>
                    <w:r>
                      <w:rPr>
                        <w:rFonts w:ascii="宋体" w:hAnsi="宋体" w:cs="宋体"/>
                        <w:sz w:val="24"/>
                        <w:szCs w:val="24"/>
                      </w:rPr>
                      <w:t>- 1 -</w:t>
                    </w:r>
                    <w:r>
                      <w:rPr>
                        <w:rFonts w:ascii="宋体" w:hAnsi="宋体" w:cs="宋体"/>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93391B"/>
    <w:multiLevelType w:val="singleLevel"/>
    <w:tmpl w:val="AE93391B"/>
    <w:lvl w:ilvl="0" w:tentative="0">
      <w:start w:val="1"/>
      <w:numFmt w:val="decimal"/>
      <w:lvlText w:val="%1"/>
      <w:lvlJc w:val="left"/>
      <w:pPr>
        <w:tabs>
          <w:tab w:val="left" w:pos="420"/>
        </w:tabs>
        <w:ind w:left="425" w:hanging="425"/>
      </w:pPr>
      <w:rPr>
        <w:rFonts w:hint="default"/>
      </w:rPr>
    </w:lvl>
  </w:abstractNum>
  <w:abstractNum w:abstractNumId="1">
    <w:nsid w:val="E3A99967"/>
    <w:multiLevelType w:val="singleLevel"/>
    <w:tmpl w:val="E3A99967"/>
    <w:lvl w:ilvl="0" w:tentative="0">
      <w:start w:val="1"/>
      <w:numFmt w:val="decimal"/>
      <w:lvlText w:val="%1"/>
      <w:lvlJc w:val="left"/>
      <w:pPr>
        <w:tabs>
          <w:tab w:val="left" w:pos="420"/>
        </w:tabs>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oNotHyphenateCaps/>
  <w:drawingGridVerticalSpacing w:val="156"/>
  <w:noPunctuationKerning w:val="true"/>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072583"/>
    <w:rsid w:val="001D4EBE"/>
    <w:rsid w:val="001E6027"/>
    <w:rsid w:val="00395A0D"/>
    <w:rsid w:val="005F4E3C"/>
    <w:rsid w:val="007F6D51"/>
    <w:rsid w:val="008401E3"/>
    <w:rsid w:val="0099109C"/>
    <w:rsid w:val="009B6599"/>
    <w:rsid w:val="009D266D"/>
    <w:rsid w:val="00E47E31"/>
    <w:rsid w:val="00E74FD3"/>
    <w:rsid w:val="00EE1272"/>
    <w:rsid w:val="00F01B05"/>
    <w:rsid w:val="020C0C1C"/>
    <w:rsid w:val="05DE5AD3"/>
    <w:rsid w:val="06FE2D3F"/>
    <w:rsid w:val="0B840BD5"/>
    <w:rsid w:val="0CE54673"/>
    <w:rsid w:val="16F720E3"/>
    <w:rsid w:val="1B4C442A"/>
    <w:rsid w:val="23F8159D"/>
    <w:rsid w:val="27B54B2B"/>
    <w:rsid w:val="28697054"/>
    <w:rsid w:val="294E5D53"/>
    <w:rsid w:val="2CCA3943"/>
    <w:rsid w:val="2E6D1467"/>
    <w:rsid w:val="30205D46"/>
    <w:rsid w:val="329B7674"/>
    <w:rsid w:val="33857917"/>
    <w:rsid w:val="36D7165A"/>
    <w:rsid w:val="37384E53"/>
    <w:rsid w:val="39176118"/>
    <w:rsid w:val="3C252033"/>
    <w:rsid w:val="43473C28"/>
    <w:rsid w:val="43654749"/>
    <w:rsid w:val="439B4335"/>
    <w:rsid w:val="458B1AC6"/>
    <w:rsid w:val="487A30EC"/>
    <w:rsid w:val="489561B0"/>
    <w:rsid w:val="4A4C6E1C"/>
    <w:rsid w:val="4B261A01"/>
    <w:rsid w:val="4C483B84"/>
    <w:rsid w:val="4CBC7365"/>
    <w:rsid w:val="512979A7"/>
    <w:rsid w:val="51E2451D"/>
    <w:rsid w:val="522C06AA"/>
    <w:rsid w:val="561327DF"/>
    <w:rsid w:val="56CC1AA4"/>
    <w:rsid w:val="597520FE"/>
    <w:rsid w:val="5B841414"/>
    <w:rsid w:val="5C0A758A"/>
    <w:rsid w:val="5E786B4A"/>
    <w:rsid w:val="60397B2B"/>
    <w:rsid w:val="621D1394"/>
    <w:rsid w:val="641D669B"/>
    <w:rsid w:val="65E30DED"/>
    <w:rsid w:val="66DA3056"/>
    <w:rsid w:val="67991233"/>
    <w:rsid w:val="69AE4541"/>
    <w:rsid w:val="6CB06A06"/>
    <w:rsid w:val="6DBE43D8"/>
    <w:rsid w:val="6FFF42E0"/>
    <w:rsid w:val="70091D56"/>
    <w:rsid w:val="73711364"/>
    <w:rsid w:val="74174E2C"/>
    <w:rsid w:val="753A180E"/>
    <w:rsid w:val="76072583"/>
    <w:rsid w:val="77202D28"/>
    <w:rsid w:val="7B025FA7"/>
    <w:rsid w:val="7B695A5D"/>
    <w:rsid w:val="7CC41B26"/>
    <w:rsid w:val="7E6F00C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2"/>
    <w:basedOn w:val="1"/>
    <w:next w:val="1"/>
    <w:link w:val="9"/>
    <w:qFormat/>
    <w:uiPriority w:val="99"/>
    <w:pPr>
      <w:keepNext/>
      <w:keepLines/>
      <w:spacing w:line="413" w:lineRule="auto"/>
      <w:outlineLvl w:val="1"/>
    </w:pPr>
    <w:rPr>
      <w:rFonts w:ascii="Arial" w:hAnsi="Arial" w:eastAsia="黑体" w:cs="Arial"/>
      <w:b/>
      <w:bCs/>
      <w:sz w:val="32"/>
      <w:szCs w:val="32"/>
    </w:rPr>
  </w:style>
  <w:style w:type="character" w:default="1" w:styleId="8">
    <w:name w:val="Default Paragraph Font"/>
    <w:semiHidden/>
    <w:qFormat/>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qFormat/>
    <w:uiPriority w:val="99"/>
    <w:pPr>
      <w:tabs>
        <w:tab w:val="center" w:pos="4153"/>
        <w:tab w:val="right" w:pos="8306"/>
      </w:tabs>
      <w:snapToGrid w:val="0"/>
      <w:jc w:val="left"/>
    </w:pPr>
    <w:rPr>
      <w:sz w:val="18"/>
      <w:szCs w:val="18"/>
    </w:rPr>
  </w:style>
  <w:style w:type="paragraph" w:styleId="4">
    <w:name w:val="header"/>
    <w:basedOn w:val="1"/>
    <w:link w:val="1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18"/>
    </w:rPr>
  </w:style>
  <w:style w:type="paragraph" w:styleId="5">
    <w:name w:val="Normal (Web)"/>
    <w:basedOn w:val="1"/>
    <w:qFormat/>
    <w:uiPriority w:val="99"/>
    <w:pPr>
      <w:spacing w:beforeAutospacing="1" w:afterAutospacing="1"/>
      <w:jc w:val="left"/>
    </w:pPr>
    <w:rPr>
      <w:kern w:val="0"/>
      <w:sz w:val="24"/>
      <w:szCs w:val="24"/>
    </w:rPr>
  </w:style>
  <w:style w:type="table" w:styleId="7">
    <w:name w:val="Table Grid"/>
    <w:basedOn w:val="6"/>
    <w:qFormat/>
    <w:uiPriority w:val="99"/>
    <w:pPr>
      <w:widowControl w:val="0"/>
      <w:jc w:val="both"/>
    </w:pPr>
    <w:rPr>
      <w:rFonts w:cs="Calibri"/>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Heading 2 Char"/>
    <w:basedOn w:val="8"/>
    <w:link w:val="2"/>
    <w:semiHidden/>
    <w:qFormat/>
    <w:locked/>
    <w:uiPriority w:val="99"/>
    <w:rPr>
      <w:rFonts w:ascii="Cambria" w:hAnsi="Cambria" w:eastAsia="宋体" w:cs="Cambria"/>
      <w:b/>
      <w:bCs/>
      <w:sz w:val="32"/>
      <w:szCs w:val="32"/>
    </w:rPr>
  </w:style>
  <w:style w:type="character" w:customStyle="1" w:styleId="10">
    <w:name w:val="Footer Char"/>
    <w:basedOn w:val="8"/>
    <w:link w:val="3"/>
    <w:semiHidden/>
    <w:qFormat/>
    <w:locked/>
    <w:uiPriority w:val="99"/>
    <w:rPr>
      <w:sz w:val="18"/>
      <w:szCs w:val="18"/>
    </w:rPr>
  </w:style>
  <w:style w:type="character" w:customStyle="1" w:styleId="11">
    <w:name w:val="Header Char"/>
    <w:basedOn w:val="8"/>
    <w:link w:val="4"/>
    <w:semiHidden/>
    <w:qFormat/>
    <w:locked/>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syyw</Company>
  <Pages>18</Pages>
  <Words>9832</Words>
  <Characters>11013</Characters>
  <Lines>0</Lines>
  <Paragraphs>0</Paragraphs>
  <TotalTime>531</TotalTime>
  <ScaleCrop>false</ScaleCrop>
  <LinksUpToDate>false</LinksUpToDate>
  <CharactersWithSpaces>11125</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2018-10-18T09:18:00Z</dcterms:created>
  <dc:creator>Administrator</dc:creator>
  <cp:lastModifiedBy>user</cp:lastModifiedBy>
  <cp:lastPrinted>2018-12-06T11:23:00Z</cp:lastPrinted>
  <dcterms:modified xsi:type="dcterms:W3CDTF">2025-03-06T14:18:33Z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ies>
</file>